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D5BE" w14:textId="77777777" w:rsidR="00177B01" w:rsidRPr="00345F3C" w:rsidRDefault="004107D6" w:rsidP="00101833">
      <w:pPr>
        <w:rPr>
          <w:rFonts w:ascii="Arial" w:hAnsi="Arial" w:cs="Arial"/>
          <w:sz w:val="40"/>
          <w:szCs w:val="40"/>
        </w:rPr>
      </w:pPr>
      <w:r w:rsidRPr="00345F3C">
        <w:rPr>
          <w:rFonts w:ascii="Arial" w:hAnsi="Arial" w:cs="Arial"/>
          <w:sz w:val="40"/>
          <w:szCs w:val="40"/>
        </w:rPr>
        <w:t>Kiedy mieszkanie wraca do oferty</w:t>
      </w:r>
      <w:r w:rsidR="00DD18BC" w:rsidRPr="00345F3C">
        <w:rPr>
          <w:rFonts w:ascii="Arial" w:hAnsi="Arial" w:cs="Arial"/>
          <w:sz w:val="40"/>
          <w:szCs w:val="40"/>
        </w:rPr>
        <w:t xml:space="preserve">  </w:t>
      </w:r>
    </w:p>
    <w:p w14:paraId="16D9CDA4" w14:textId="7A1F0BFB" w:rsidR="00903EC4" w:rsidRPr="00345F3C" w:rsidRDefault="00531643" w:rsidP="00101833">
      <w:pPr>
        <w:rPr>
          <w:rFonts w:ascii="Arial" w:hAnsi="Arial"/>
        </w:rPr>
      </w:pPr>
      <w:r w:rsidRPr="00345F3C">
        <w:rPr>
          <w:rFonts w:ascii="Arial" w:hAnsi="Arial"/>
        </w:rPr>
        <w:t>Informacja prasowa, Poznań</w:t>
      </w:r>
      <w:r w:rsidR="004107D6" w:rsidRPr="00345F3C">
        <w:rPr>
          <w:rFonts w:ascii="Arial" w:hAnsi="Arial"/>
        </w:rPr>
        <w:t>,</w:t>
      </w:r>
      <w:r w:rsidRPr="00345F3C">
        <w:rPr>
          <w:rFonts w:ascii="Arial" w:hAnsi="Arial"/>
        </w:rPr>
        <w:t xml:space="preserve"> </w:t>
      </w:r>
      <w:r w:rsidR="00345F3C">
        <w:rPr>
          <w:rFonts w:ascii="Arial" w:hAnsi="Arial"/>
        </w:rPr>
        <w:t>14</w:t>
      </w:r>
      <w:r w:rsidR="004107D6" w:rsidRPr="00345F3C">
        <w:rPr>
          <w:rFonts w:ascii="Arial" w:hAnsi="Arial"/>
        </w:rPr>
        <w:t xml:space="preserve"> </w:t>
      </w:r>
      <w:r w:rsidR="008B3DCC" w:rsidRPr="00345F3C">
        <w:rPr>
          <w:rFonts w:ascii="Arial" w:hAnsi="Arial"/>
        </w:rPr>
        <w:t>czerwca</w:t>
      </w:r>
      <w:r w:rsidR="004107D6" w:rsidRPr="00345F3C">
        <w:rPr>
          <w:rFonts w:ascii="Arial" w:hAnsi="Arial"/>
        </w:rPr>
        <w:t xml:space="preserve"> 2016 </w:t>
      </w:r>
    </w:p>
    <w:p w14:paraId="27831886" w14:textId="42D888CB" w:rsidR="00665F7F" w:rsidRPr="00345F3C" w:rsidRDefault="005662C8" w:rsidP="00101833">
      <w:pPr>
        <w:rPr>
          <w:rFonts w:ascii="Arial" w:hAnsi="Arial" w:cs="Arial"/>
          <w:b/>
        </w:rPr>
      </w:pPr>
      <w:r w:rsidRPr="00345F3C">
        <w:rPr>
          <w:rFonts w:ascii="Arial" w:hAnsi="Arial" w:cs="Arial"/>
          <w:b/>
        </w:rPr>
        <w:t>Marka dewelopera może być jednym z najważniejszych kryteriów wyboru przy zakupie nowego mieszkania. W takiej sytuacji należy pamiętać, aby regularnie sprawdzać a</w:t>
      </w:r>
      <w:r w:rsidR="006601AB" w:rsidRPr="00345F3C">
        <w:rPr>
          <w:rFonts w:ascii="Arial" w:hAnsi="Arial" w:cs="Arial"/>
          <w:b/>
        </w:rPr>
        <w:t>ktualne propozycje</w:t>
      </w:r>
      <w:r w:rsidRPr="00345F3C">
        <w:rPr>
          <w:rFonts w:ascii="Arial" w:hAnsi="Arial" w:cs="Arial"/>
          <w:b/>
        </w:rPr>
        <w:t xml:space="preserve"> wybranej przez nas firmy. Choć</w:t>
      </w:r>
      <w:r w:rsidR="004E5201" w:rsidRPr="00345F3C">
        <w:rPr>
          <w:rFonts w:ascii="Arial" w:hAnsi="Arial" w:cs="Arial"/>
          <w:b/>
        </w:rPr>
        <w:t xml:space="preserve"> </w:t>
      </w:r>
      <w:r w:rsidRPr="00345F3C">
        <w:rPr>
          <w:rFonts w:ascii="Arial" w:hAnsi="Arial" w:cs="Arial"/>
          <w:b/>
        </w:rPr>
        <w:t>brzmi to przewrotnie, czasami do oferty mogą wrócić lokale</w:t>
      </w:r>
      <w:r w:rsidR="006601AB" w:rsidRPr="00345F3C">
        <w:rPr>
          <w:rFonts w:ascii="Arial" w:hAnsi="Arial" w:cs="Arial"/>
          <w:b/>
        </w:rPr>
        <w:t xml:space="preserve"> już</w:t>
      </w:r>
      <w:r w:rsidRPr="00345F3C">
        <w:rPr>
          <w:rFonts w:ascii="Arial" w:hAnsi="Arial" w:cs="Arial"/>
          <w:b/>
        </w:rPr>
        <w:t xml:space="preserve"> wcześniej ozn</w:t>
      </w:r>
      <w:r w:rsidR="006601AB" w:rsidRPr="00345F3C">
        <w:rPr>
          <w:rFonts w:ascii="Arial" w:hAnsi="Arial" w:cs="Arial"/>
          <w:b/>
        </w:rPr>
        <w:t>a</w:t>
      </w:r>
      <w:r w:rsidRPr="00345F3C">
        <w:rPr>
          <w:rFonts w:ascii="Arial" w:hAnsi="Arial" w:cs="Arial"/>
          <w:b/>
        </w:rPr>
        <w:t>cz</w:t>
      </w:r>
      <w:r w:rsidR="006601AB" w:rsidRPr="00345F3C">
        <w:rPr>
          <w:rFonts w:ascii="Arial" w:hAnsi="Arial" w:cs="Arial"/>
          <w:b/>
        </w:rPr>
        <w:t>one</w:t>
      </w:r>
      <w:r w:rsidRPr="00345F3C">
        <w:rPr>
          <w:rFonts w:ascii="Arial" w:hAnsi="Arial" w:cs="Arial"/>
          <w:b/>
        </w:rPr>
        <w:t xml:space="preserve"> jako kupione. Istnieją trzy główne powody takiego stanu rzeczy</w:t>
      </w:r>
      <w:r w:rsidR="009D2194" w:rsidRPr="00345F3C">
        <w:rPr>
          <w:rFonts w:ascii="Arial" w:hAnsi="Arial" w:cs="Arial"/>
          <w:b/>
        </w:rPr>
        <w:t xml:space="preserve">: relokacja </w:t>
      </w:r>
      <w:r w:rsidR="00AF7C58" w:rsidRPr="00345F3C">
        <w:rPr>
          <w:rFonts w:ascii="Arial" w:hAnsi="Arial" w:cs="Arial"/>
          <w:b/>
        </w:rPr>
        <w:t xml:space="preserve">zawodowa, odrzucenie wniosku kredytowego lub rozstanie klientów. </w:t>
      </w:r>
      <w:r w:rsidRPr="00345F3C">
        <w:rPr>
          <w:rFonts w:ascii="Arial" w:hAnsi="Arial" w:cs="Arial"/>
          <w:b/>
        </w:rPr>
        <w:t xml:space="preserve"> </w:t>
      </w:r>
      <w:r w:rsidR="00665F7F" w:rsidRPr="00345F3C">
        <w:rPr>
          <w:rFonts w:ascii="Arial" w:hAnsi="Arial" w:cs="Arial"/>
          <w:b/>
        </w:rPr>
        <w:t xml:space="preserve"> </w:t>
      </w:r>
    </w:p>
    <w:p w14:paraId="32A79AB2" w14:textId="173BBD39" w:rsidR="008B3DCC" w:rsidRPr="00345F3C" w:rsidRDefault="008B3DCC" w:rsidP="008B3DCC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Trzeba zdawać sobie sprawę, że zakup mieszkania to długotrwały proces.</w:t>
      </w:r>
      <w:r w:rsidR="00E139B0" w:rsidRPr="00345F3C">
        <w:rPr>
          <w:iCs/>
          <w:sz w:val="20"/>
          <w:szCs w:val="24"/>
        </w:rPr>
        <w:t xml:space="preserve"> </w:t>
      </w:r>
      <w:r w:rsidR="006F05C1" w:rsidRPr="00345F3C">
        <w:rPr>
          <w:iCs/>
          <w:sz w:val="20"/>
          <w:szCs w:val="24"/>
        </w:rPr>
        <w:t>Od rozpoczęcia</w:t>
      </w:r>
      <w:r w:rsidR="00345F3C">
        <w:rPr>
          <w:iCs/>
          <w:sz w:val="20"/>
          <w:szCs w:val="24"/>
        </w:rPr>
        <w:t xml:space="preserve"> </w:t>
      </w:r>
      <w:r w:rsidR="006F05C1" w:rsidRPr="00345F3C">
        <w:rPr>
          <w:iCs/>
          <w:sz w:val="20"/>
          <w:szCs w:val="24"/>
        </w:rPr>
        <w:t xml:space="preserve">poszukiwań wymarzonego lokalu do notarialnego przeniesienia własności zwykle mija kilka miesięcy, a w niektórych przypadkach nawet </w:t>
      </w:r>
      <w:r w:rsidR="00881F27" w:rsidRPr="00345F3C">
        <w:rPr>
          <w:iCs/>
          <w:sz w:val="20"/>
          <w:szCs w:val="24"/>
        </w:rPr>
        <w:t>ponad rok</w:t>
      </w:r>
      <w:r w:rsidR="006F05C1" w:rsidRPr="00345F3C">
        <w:rPr>
          <w:iCs/>
          <w:sz w:val="20"/>
          <w:szCs w:val="24"/>
        </w:rPr>
        <w:t>.</w:t>
      </w:r>
      <w:r w:rsidRPr="00345F3C">
        <w:rPr>
          <w:iCs/>
          <w:sz w:val="20"/>
          <w:szCs w:val="24"/>
        </w:rPr>
        <w:t xml:space="preserve"> </w:t>
      </w:r>
      <w:r w:rsidR="00EF2B13" w:rsidRPr="00345F3C">
        <w:rPr>
          <w:iCs/>
          <w:sz w:val="20"/>
          <w:szCs w:val="24"/>
        </w:rPr>
        <w:t xml:space="preserve">To sprawia, że </w:t>
      </w:r>
      <w:r w:rsidR="00F53D5D" w:rsidRPr="00345F3C">
        <w:rPr>
          <w:iCs/>
          <w:sz w:val="20"/>
          <w:szCs w:val="24"/>
        </w:rPr>
        <w:t>czasami sytuacja zawodowa i życiowa klientów, którzy decydują się na zakup nieruchomości</w:t>
      </w:r>
      <w:r w:rsidR="00345F3C">
        <w:rPr>
          <w:iCs/>
          <w:sz w:val="20"/>
          <w:szCs w:val="24"/>
        </w:rPr>
        <w:t>,</w:t>
      </w:r>
      <w:r w:rsidR="00F53D5D" w:rsidRPr="00345F3C">
        <w:rPr>
          <w:iCs/>
          <w:sz w:val="20"/>
          <w:szCs w:val="24"/>
        </w:rPr>
        <w:t xml:space="preserve"> ulega zmianie w większym stopniu niż </w:t>
      </w:r>
      <w:r w:rsidR="00E139B0" w:rsidRPr="00345F3C">
        <w:rPr>
          <w:iCs/>
          <w:sz w:val="20"/>
          <w:szCs w:val="24"/>
        </w:rPr>
        <w:t>byliby w stanie to przewidzieć</w:t>
      </w:r>
      <w:r w:rsidR="006F05C1" w:rsidRPr="00345F3C">
        <w:rPr>
          <w:iCs/>
          <w:sz w:val="20"/>
          <w:szCs w:val="24"/>
        </w:rPr>
        <w:t xml:space="preserve"> n</w:t>
      </w:r>
      <w:r w:rsidR="008F39ED" w:rsidRPr="00345F3C">
        <w:rPr>
          <w:iCs/>
          <w:sz w:val="20"/>
          <w:szCs w:val="24"/>
        </w:rPr>
        <w:t>a początku</w:t>
      </w:r>
      <w:r w:rsidR="00E139B0" w:rsidRPr="00345F3C">
        <w:rPr>
          <w:iCs/>
          <w:sz w:val="20"/>
          <w:szCs w:val="24"/>
        </w:rPr>
        <w:t>.</w:t>
      </w:r>
    </w:p>
    <w:p w14:paraId="167F7491" w14:textId="77777777" w:rsidR="008B3DCC" w:rsidRPr="00345F3C" w:rsidRDefault="008B3DCC" w:rsidP="00CB2C12">
      <w:pPr>
        <w:pStyle w:val="NoSpacing"/>
        <w:rPr>
          <w:b/>
          <w:iCs/>
          <w:sz w:val="20"/>
          <w:szCs w:val="24"/>
        </w:rPr>
      </w:pPr>
    </w:p>
    <w:p w14:paraId="669D58D9" w14:textId="62E66518" w:rsidR="0057391E" w:rsidRPr="00345F3C" w:rsidRDefault="00AF7C58" w:rsidP="00CB2C12">
      <w:pPr>
        <w:pStyle w:val="NoSpacing"/>
        <w:rPr>
          <w:b/>
          <w:iCs/>
          <w:sz w:val="20"/>
          <w:szCs w:val="24"/>
        </w:rPr>
      </w:pPr>
      <w:r w:rsidRPr="00345F3C">
        <w:rPr>
          <w:b/>
          <w:iCs/>
          <w:sz w:val="20"/>
          <w:szCs w:val="24"/>
        </w:rPr>
        <w:t>Za chlebem</w:t>
      </w:r>
    </w:p>
    <w:p w14:paraId="597401B3" w14:textId="77777777" w:rsidR="008A453F" w:rsidRPr="00345F3C" w:rsidRDefault="008A453F" w:rsidP="00CB2C12">
      <w:pPr>
        <w:pStyle w:val="NoSpacing"/>
        <w:rPr>
          <w:iCs/>
          <w:sz w:val="20"/>
          <w:szCs w:val="24"/>
        </w:rPr>
      </w:pPr>
    </w:p>
    <w:p w14:paraId="71B2357F" w14:textId="3C5848B4" w:rsidR="00AF7C58" w:rsidRPr="00345F3C" w:rsidRDefault="00AF7C58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 xml:space="preserve">Choć jeszcze kilka lat temu to miejsce zamieszkania decydowało o tym, gdzie szukamy pracy, teraz ta relacja stopniowo się odwraca. Zgodnie z </w:t>
      </w:r>
      <w:r w:rsidR="00A2159E" w:rsidRPr="00345F3C">
        <w:rPr>
          <w:iCs/>
          <w:sz w:val="20"/>
          <w:szCs w:val="24"/>
        </w:rPr>
        <w:t xml:space="preserve">zachodnimi wzorcami Polacy są coraz bardziej skłonni do przeprowadzek za pracą. Według badań blisko ¾ Polaków rozważających zmianę pracy jest gotowych do relokacji. </w:t>
      </w:r>
      <w:r w:rsidR="00362082" w:rsidRPr="00345F3C">
        <w:rPr>
          <w:iCs/>
          <w:sz w:val="20"/>
          <w:szCs w:val="24"/>
        </w:rPr>
        <w:t xml:space="preserve">Najważniejszą motywacją w tym względzie są zarobki wyższe od dotychczasowych. Dla większej wypłaty mogłoby przeprowadzić się 40% szukających pracy. </w:t>
      </w:r>
    </w:p>
    <w:p w14:paraId="21EA0679" w14:textId="77777777" w:rsidR="00362082" w:rsidRPr="00345F3C" w:rsidRDefault="00362082" w:rsidP="00CB2C12">
      <w:pPr>
        <w:pStyle w:val="NoSpacing"/>
        <w:rPr>
          <w:iCs/>
          <w:sz w:val="20"/>
          <w:szCs w:val="24"/>
        </w:rPr>
      </w:pPr>
    </w:p>
    <w:p w14:paraId="1F298B36" w14:textId="35C0ADF6" w:rsidR="00170AAF" w:rsidRPr="00345F3C" w:rsidRDefault="00362082" w:rsidP="00CB2C12">
      <w:pPr>
        <w:pStyle w:val="NoSpacing"/>
        <w:rPr>
          <w:i/>
          <w:iCs/>
          <w:sz w:val="20"/>
          <w:szCs w:val="24"/>
        </w:rPr>
      </w:pPr>
      <w:r w:rsidRPr="00345F3C">
        <w:rPr>
          <w:i/>
          <w:iCs/>
          <w:sz w:val="20"/>
          <w:szCs w:val="24"/>
        </w:rPr>
        <w:t>– Doświadczamy aktualnie dużych zmian w sposobie funkcjonowania rynku pracy i zmiany modelu myślenia pracowników, co ma dla nas zar</w:t>
      </w:r>
      <w:r w:rsidR="006836A5" w:rsidRPr="00345F3C">
        <w:rPr>
          <w:i/>
          <w:iCs/>
          <w:sz w:val="20"/>
          <w:szCs w:val="24"/>
        </w:rPr>
        <w:t>ówno pozytywne, jak i negatywne konsekwencje</w:t>
      </w:r>
      <w:r w:rsidR="006836A5" w:rsidRPr="00345F3C">
        <w:rPr>
          <w:iCs/>
          <w:sz w:val="20"/>
          <w:szCs w:val="24"/>
        </w:rPr>
        <w:t xml:space="preserve"> – mówi Agata Olszyńska, dyrektor sprzedaży i marketingu w Nickel Development. </w:t>
      </w:r>
      <w:r w:rsidR="00C85838" w:rsidRPr="00345F3C">
        <w:rPr>
          <w:iCs/>
          <w:sz w:val="20"/>
          <w:szCs w:val="24"/>
        </w:rPr>
        <w:t>–</w:t>
      </w:r>
      <w:r w:rsidR="006836A5" w:rsidRPr="00345F3C">
        <w:rPr>
          <w:iCs/>
          <w:sz w:val="20"/>
          <w:szCs w:val="24"/>
        </w:rPr>
        <w:t xml:space="preserve"> </w:t>
      </w:r>
      <w:r w:rsidR="00C85838" w:rsidRPr="00345F3C">
        <w:rPr>
          <w:i/>
          <w:iCs/>
          <w:sz w:val="20"/>
          <w:szCs w:val="24"/>
        </w:rPr>
        <w:t xml:space="preserve">Z jednej strony </w:t>
      </w:r>
      <w:r w:rsidR="008577C1" w:rsidRPr="00345F3C">
        <w:rPr>
          <w:i/>
          <w:iCs/>
          <w:sz w:val="20"/>
          <w:szCs w:val="24"/>
        </w:rPr>
        <w:t xml:space="preserve">widzimy, że wraz z dynamicznym rozwojem Poznania, przybywa tu również coraz więcej specjalistów </w:t>
      </w:r>
      <w:r w:rsidR="006601AB" w:rsidRPr="00345F3C">
        <w:rPr>
          <w:i/>
          <w:iCs/>
          <w:sz w:val="20"/>
          <w:szCs w:val="24"/>
        </w:rPr>
        <w:t>oraz</w:t>
      </w:r>
      <w:r w:rsidR="008577C1" w:rsidRPr="00345F3C">
        <w:rPr>
          <w:i/>
          <w:iCs/>
          <w:sz w:val="20"/>
          <w:szCs w:val="24"/>
        </w:rPr>
        <w:t xml:space="preserve"> menedżerów średniego i wyższego szczebla, którzy poszukują swojego lokum. </w:t>
      </w:r>
      <w:r w:rsidR="0028490A" w:rsidRPr="00345F3C">
        <w:rPr>
          <w:i/>
          <w:iCs/>
          <w:sz w:val="20"/>
          <w:szCs w:val="24"/>
        </w:rPr>
        <w:t>Z</w:t>
      </w:r>
      <w:r w:rsidR="008577C1" w:rsidRPr="00345F3C">
        <w:rPr>
          <w:i/>
          <w:iCs/>
          <w:sz w:val="20"/>
          <w:szCs w:val="24"/>
        </w:rPr>
        <w:t xml:space="preserve"> drugiej strony rynek pracy w innych dużych polskich miastach jest również zachęcający</w:t>
      </w:r>
      <w:r w:rsidR="00170AAF" w:rsidRPr="00345F3C">
        <w:rPr>
          <w:iCs/>
          <w:sz w:val="20"/>
          <w:szCs w:val="24"/>
        </w:rPr>
        <w:t xml:space="preserve"> - dodaje</w:t>
      </w:r>
      <w:r w:rsidR="008577C1" w:rsidRPr="00345F3C">
        <w:rPr>
          <w:i/>
          <w:iCs/>
          <w:sz w:val="20"/>
          <w:szCs w:val="24"/>
        </w:rPr>
        <w:t xml:space="preserve">. </w:t>
      </w:r>
    </w:p>
    <w:p w14:paraId="64139D50" w14:textId="77777777" w:rsidR="00170AAF" w:rsidRPr="00345F3C" w:rsidRDefault="00170AAF" w:rsidP="00CB2C12">
      <w:pPr>
        <w:pStyle w:val="NoSpacing"/>
        <w:rPr>
          <w:i/>
          <w:iCs/>
          <w:sz w:val="20"/>
          <w:szCs w:val="24"/>
        </w:rPr>
      </w:pPr>
    </w:p>
    <w:p w14:paraId="5F8701EB" w14:textId="525B316E" w:rsidR="00170AAF" w:rsidRPr="00345F3C" w:rsidRDefault="000763BC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P</w:t>
      </w:r>
      <w:r w:rsidR="00E23D6E" w:rsidRPr="00345F3C">
        <w:rPr>
          <w:iCs/>
          <w:sz w:val="20"/>
          <w:szCs w:val="24"/>
        </w:rPr>
        <w:t>rzeciętna wysokość zarobków na koniec 2015 r. daje Poznaniowi czwarte miejsce</w:t>
      </w:r>
      <w:r w:rsidR="00090036" w:rsidRPr="00345F3C">
        <w:rPr>
          <w:iCs/>
          <w:sz w:val="20"/>
          <w:szCs w:val="24"/>
        </w:rPr>
        <w:t xml:space="preserve"> w Polsce</w:t>
      </w:r>
      <w:r w:rsidR="00E23D6E" w:rsidRPr="00345F3C">
        <w:rPr>
          <w:iCs/>
          <w:sz w:val="20"/>
          <w:szCs w:val="24"/>
        </w:rPr>
        <w:t>. Więcej można zarobić w Warszawie, Katowicach i Gdańsku. Niestety dynamika wzrostu wynagrodzeń w ostatnich trzech latach sugeruje, że Poznań może niedługo stracić swoją lokatę w tym rankingu na rzecz Krakowa lub Wrocławia, gdzie wynagrodzenia od 2012 r. wzrosły odpowiednio o 15,3% i 18,6%. Natomiast w Poznaniu zaledwie o 6,2%</w:t>
      </w:r>
    </w:p>
    <w:p w14:paraId="72D58C51" w14:textId="77777777" w:rsidR="008F39ED" w:rsidRPr="00345F3C" w:rsidRDefault="008F39ED" w:rsidP="00CB2C12">
      <w:pPr>
        <w:pStyle w:val="NoSpacing"/>
        <w:rPr>
          <w:i/>
          <w:iCs/>
          <w:sz w:val="20"/>
          <w:szCs w:val="24"/>
        </w:rPr>
      </w:pPr>
    </w:p>
    <w:p w14:paraId="596177E0" w14:textId="48D9388B" w:rsidR="00170AAF" w:rsidRPr="00345F3C" w:rsidRDefault="008F39ED" w:rsidP="00CB2C12">
      <w:pPr>
        <w:pStyle w:val="NoSpacing"/>
        <w:rPr>
          <w:i/>
          <w:iCs/>
          <w:sz w:val="20"/>
          <w:szCs w:val="24"/>
        </w:rPr>
      </w:pPr>
      <w:r w:rsidRPr="00345F3C">
        <w:rPr>
          <w:i/>
          <w:iCs/>
          <w:sz w:val="20"/>
          <w:szCs w:val="24"/>
        </w:rPr>
        <w:t>– Czasem zdarza się, że nasi klienci dostają propozycję pracy w innym mieście</w:t>
      </w:r>
      <w:r w:rsidR="00E70DF0" w:rsidRPr="00345F3C">
        <w:rPr>
          <w:i/>
          <w:iCs/>
          <w:sz w:val="20"/>
          <w:szCs w:val="24"/>
        </w:rPr>
        <w:t xml:space="preserve"> i na tym przerywamy rozmowy.</w:t>
      </w:r>
      <w:r w:rsidRPr="00345F3C">
        <w:rPr>
          <w:i/>
          <w:iCs/>
          <w:sz w:val="20"/>
          <w:szCs w:val="24"/>
        </w:rPr>
        <w:t xml:space="preserve"> </w:t>
      </w:r>
      <w:r w:rsidR="00E70DF0" w:rsidRPr="00345F3C">
        <w:rPr>
          <w:i/>
          <w:iCs/>
          <w:sz w:val="20"/>
          <w:szCs w:val="24"/>
        </w:rPr>
        <w:t xml:space="preserve">Jednak wcale nie jest to regułą – </w:t>
      </w:r>
      <w:r w:rsidR="00E70DF0" w:rsidRPr="00345F3C">
        <w:rPr>
          <w:iCs/>
          <w:sz w:val="20"/>
          <w:szCs w:val="24"/>
        </w:rPr>
        <w:t>mówi Agata Olszyńska z Nickel Development</w:t>
      </w:r>
      <w:r w:rsidR="00802D7C" w:rsidRPr="00345F3C">
        <w:rPr>
          <w:i/>
          <w:iCs/>
          <w:sz w:val="20"/>
          <w:szCs w:val="24"/>
        </w:rPr>
        <w:t>.</w:t>
      </w:r>
      <w:r w:rsidR="00E70DF0" w:rsidRPr="00345F3C">
        <w:rPr>
          <w:i/>
          <w:iCs/>
          <w:sz w:val="20"/>
          <w:szCs w:val="24"/>
        </w:rPr>
        <w:t xml:space="preserve"> –</w:t>
      </w:r>
      <w:r w:rsidR="009123C6" w:rsidRPr="00345F3C">
        <w:rPr>
          <w:iCs/>
          <w:sz w:val="20"/>
          <w:szCs w:val="24"/>
        </w:rPr>
        <w:t xml:space="preserve"> </w:t>
      </w:r>
      <w:r w:rsidR="00E70DF0" w:rsidRPr="00345F3C">
        <w:rPr>
          <w:i/>
          <w:iCs/>
          <w:sz w:val="20"/>
          <w:szCs w:val="24"/>
        </w:rPr>
        <w:t>S</w:t>
      </w:r>
      <w:r w:rsidR="009123C6" w:rsidRPr="00345F3C">
        <w:rPr>
          <w:i/>
          <w:iCs/>
          <w:sz w:val="20"/>
          <w:szCs w:val="24"/>
        </w:rPr>
        <w:t xml:space="preserve">taramy się dowiedzieć więcej o sytuacji klienta i </w:t>
      </w:r>
      <w:r w:rsidR="00E70DF0" w:rsidRPr="00345F3C">
        <w:rPr>
          <w:i/>
          <w:iCs/>
          <w:sz w:val="20"/>
          <w:szCs w:val="24"/>
        </w:rPr>
        <w:t>zmienić naszą propozycję na taką</w:t>
      </w:r>
      <w:r w:rsidR="009123C6" w:rsidRPr="00345F3C">
        <w:rPr>
          <w:i/>
          <w:iCs/>
          <w:sz w:val="20"/>
          <w:szCs w:val="24"/>
        </w:rPr>
        <w:t>, któr</w:t>
      </w:r>
      <w:r w:rsidR="00E70DF0" w:rsidRPr="00345F3C">
        <w:rPr>
          <w:i/>
          <w:iCs/>
          <w:sz w:val="20"/>
          <w:szCs w:val="24"/>
        </w:rPr>
        <w:t>a</w:t>
      </w:r>
      <w:r w:rsidR="009123C6" w:rsidRPr="00345F3C">
        <w:rPr>
          <w:i/>
          <w:iCs/>
          <w:sz w:val="20"/>
          <w:szCs w:val="24"/>
        </w:rPr>
        <w:t xml:space="preserve"> będz</w:t>
      </w:r>
      <w:r w:rsidR="00C51161" w:rsidRPr="00345F3C">
        <w:rPr>
          <w:i/>
          <w:iCs/>
          <w:sz w:val="20"/>
          <w:szCs w:val="24"/>
        </w:rPr>
        <w:t>ie dla niego najkorzystniejsz</w:t>
      </w:r>
      <w:r w:rsidR="00E70DF0" w:rsidRPr="00345F3C">
        <w:rPr>
          <w:i/>
          <w:iCs/>
          <w:sz w:val="20"/>
          <w:szCs w:val="24"/>
        </w:rPr>
        <w:t>a w nowych okolicznościach</w:t>
      </w:r>
      <w:r w:rsidR="00C51161" w:rsidRPr="00345F3C">
        <w:rPr>
          <w:i/>
          <w:iCs/>
          <w:sz w:val="20"/>
          <w:szCs w:val="24"/>
        </w:rPr>
        <w:t xml:space="preserve">. </w:t>
      </w:r>
      <w:r w:rsidR="00802D7C" w:rsidRPr="00345F3C">
        <w:rPr>
          <w:i/>
          <w:iCs/>
          <w:sz w:val="20"/>
          <w:szCs w:val="24"/>
        </w:rPr>
        <w:t>Wielokrotnie</w:t>
      </w:r>
      <w:r w:rsidR="002C6529" w:rsidRPr="00345F3C">
        <w:rPr>
          <w:i/>
          <w:iCs/>
          <w:sz w:val="20"/>
          <w:szCs w:val="24"/>
        </w:rPr>
        <w:t>,</w:t>
      </w:r>
      <w:r w:rsidR="00C51161" w:rsidRPr="00345F3C">
        <w:rPr>
          <w:i/>
          <w:iCs/>
          <w:sz w:val="20"/>
          <w:szCs w:val="24"/>
        </w:rPr>
        <w:t xml:space="preserve"> po przedstawieniu przez nas opcji </w:t>
      </w:r>
      <w:r w:rsidR="00802D7C" w:rsidRPr="00345F3C">
        <w:rPr>
          <w:i/>
          <w:iCs/>
          <w:sz w:val="20"/>
          <w:szCs w:val="24"/>
        </w:rPr>
        <w:t>zakupu wybranego mieszkania</w:t>
      </w:r>
      <w:r w:rsidR="00E70DF0" w:rsidRPr="00345F3C">
        <w:rPr>
          <w:i/>
          <w:iCs/>
          <w:sz w:val="20"/>
          <w:szCs w:val="24"/>
        </w:rPr>
        <w:t xml:space="preserve"> i oddania go w najem</w:t>
      </w:r>
      <w:r w:rsidR="00802D7C" w:rsidRPr="00345F3C">
        <w:rPr>
          <w:i/>
          <w:iCs/>
          <w:sz w:val="20"/>
          <w:szCs w:val="24"/>
        </w:rPr>
        <w:t>, klienci przestają myśleć o rezygnacj</w:t>
      </w:r>
      <w:r w:rsidR="00E70DF0" w:rsidRPr="00345F3C">
        <w:rPr>
          <w:i/>
          <w:iCs/>
          <w:sz w:val="20"/>
          <w:szCs w:val="24"/>
        </w:rPr>
        <w:t>i</w:t>
      </w:r>
      <w:r w:rsidR="00802D7C" w:rsidRPr="00345F3C">
        <w:rPr>
          <w:i/>
          <w:iCs/>
          <w:sz w:val="20"/>
          <w:szCs w:val="24"/>
        </w:rPr>
        <w:t xml:space="preserve"> –</w:t>
      </w:r>
      <w:r w:rsidR="00802D7C" w:rsidRPr="00345F3C">
        <w:rPr>
          <w:iCs/>
          <w:sz w:val="20"/>
          <w:szCs w:val="24"/>
        </w:rPr>
        <w:t xml:space="preserve"> </w:t>
      </w:r>
      <w:r w:rsidR="00362F28" w:rsidRPr="00345F3C">
        <w:rPr>
          <w:iCs/>
          <w:sz w:val="20"/>
          <w:szCs w:val="24"/>
        </w:rPr>
        <w:t>dodaje.</w:t>
      </w:r>
    </w:p>
    <w:p w14:paraId="04C374D1" w14:textId="77777777" w:rsidR="00C62301" w:rsidRPr="00345F3C" w:rsidRDefault="00C62301" w:rsidP="00CB2C12">
      <w:pPr>
        <w:pStyle w:val="NoSpacing"/>
        <w:rPr>
          <w:i/>
          <w:iCs/>
          <w:sz w:val="20"/>
          <w:szCs w:val="24"/>
        </w:rPr>
      </w:pPr>
    </w:p>
    <w:p w14:paraId="49DA144F" w14:textId="77777777" w:rsidR="00E70DF0" w:rsidRPr="00345F3C" w:rsidRDefault="00E70DF0" w:rsidP="00CB2C12">
      <w:pPr>
        <w:pStyle w:val="NoSpacing"/>
        <w:rPr>
          <w:i/>
          <w:iCs/>
          <w:sz w:val="20"/>
          <w:szCs w:val="24"/>
        </w:rPr>
      </w:pPr>
    </w:p>
    <w:p w14:paraId="4E4A0925" w14:textId="77777777" w:rsidR="00E70DF0" w:rsidRPr="00345F3C" w:rsidRDefault="00E70DF0" w:rsidP="00CB2C12">
      <w:pPr>
        <w:pStyle w:val="NoSpacing"/>
        <w:rPr>
          <w:iCs/>
          <w:sz w:val="20"/>
          <w:szCs w:val="24"/>
        </w:rPr>
      </w:pPr>
    </w:p>
    <w:p w14:paraId="59653444" w14:textId="083C657D" w:rsidR="00C62301" w:rsidRPr="00345F3C" w:rsidRDefault="009B7D47" w:rsidP="00CB2C12">
      <w:pPr>
        <w:pStyle w:val="NoSpacing"/>
        <w:rPr>
          <w:b/>
          <w:iCs/>
          <w:sz w:val="20"/>
          <w:szCs w:val="24"/>
        </w:rPr>
      </w:pPr>
      <w:r w:rsidRPr="00345F3C">
        <w:rPr>
          <w:b/>
          <w:iCs/>
          <w:sz w:val="20"/>
          <w:szCs w:val="24"/>
        </w:rPr>
        <w:lastRenderedPageBreak/>
        <w:t>Wniosek odrzucony</w:t>
      </w:r>
    </w:p>
    <w:p w14:paraId="515D6D71" w14:textId="77777777" w:rsidR="009B7D47" w:rsidRPr="00345F3C" w:rsidRDefault="009B7D47" w:rsidP="00CB2C12">
      <w:pPr>
        <w:pStyle w:val="NoSpacing"/>
        <w:rPr>
          <w:iCs/>
          <w:sz w:val="20"/>
          <w:szCs w:val="24"/>
        </w:rPr>
      </w:pPr>
    </w:p>
    <w:p w14:paraId="100E334C" w14:textId="25AA3FF2" w:rsidR="009B7D47" w:rsidRPr="00345F3C" w:rsidRDefault="003E3D5C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 xml:space="preserve">Drugim możliwym scenariuszem powrotu „kupionego” mieszkania do oferty jest odrzucenie wniosku kredytowego klienta. Dotyczy to zwłaszcza </w:t>
      </w:r>
      <w:r w:rsidR="00794984" w:rsidRPr="00345F3C">
        <w:rPr>
          <w:iCs/>
          <w:sz w:val="20"/>
          <w:szCs w:val="24"/>
        </w:rPr>
        <w:t>tych osób</w:t>
      </w:r>
      <w:r w:rsidRPr="00345F3C">
        <w:rPr>
          <w:iCs/>
          <w:sz w:val="20"/>
          <w:szCs w:val="24"/>
        </w:rPr>
        <w:t>, któr</w:t>
      </w:r>
      <w:r w:rsidR="00794984" w:rsidRPr="00345F3C">
        <w:rPr>
          <w:iCs/>
          <w:sz w:val="20"/>
          <w:szCs w:val="24"/>
        </w:rPr>
        <w:t>e</w:t>
      </w:r>
      <w:r w:rsidRPr="00345F3C">
        <w:rPr>
          <w:iCs/>
          <w:sz w:val="20"/>
          <w:szCs w:val="24"/>
        </w:rPr>
        <w:t xml:space="preserve"> mają spore zarobki i nie spodziewają się kłopotów, ale bank ma </w:t>
      </w:r>
      <w:r w:rsidR="00004586" w:rsidRPr="00345F3C">
        <w:rPr>
          <w:iCs/>
          <w:sz w:val="20"/>
          <w:szCs w:val="24"/>
        </w:rPr>
        <w:t>problemy</w:t>
      </w:r>
      <w:r w:rsidRPr="00345F3C">
        <w:rPr>
          <w:iCs/>
          <w:sz w:val="20"/>
          <w:szCs w:val="24"/>
        </w:rPr>
        <w:t xml:space="preserve"> z oszacowaniem ich zdolności kredytowej oraz ryzyka. </w:t>
      </w:r>
      <w:r w:rsidR="00B445A1" w:rsidRPr="00345F3C">
        <w:rPr>
          <w:iCs/>
          <w:sz w:val="20"/>
          <w:szCs w:val="24"/>
        </w:rPr>
        <w:t>W tej grupie znajdują się pracujący</w:t>
      </w:r>
      <w:r w:rsidR="0057391E" w:rsidRPr="00345F3C">
        <w:rPr>
          <w:iCs/>
          <w:sz w:val="20"/>
          <w:szCs w:val="24"/>
        </w:rPr>
        <w:t xml:space="preserve"> na terminowych umowach o pracę,</w:t>
      </w:r>
      <w:r w:rsidR="00B445A1" w:rsidRPr="00345F3C">
        <w:rPr>
          <w:iCs/>
          <w:sz w:val="20"/>
          <w:szCs w:val="24"/>
        </w:rPr>
        <w:t xml:space="preserve"> w oparciu o umowy cywilno-prawne, przedsiębiorcy z krótką historią prowadzenia działalności oraz uzyskujący nieregularne zarobki, np. tylko</w:t>
      </w:r>
      <w:r w:rsidR="00004586" w:rsidRPr="00345F3C">
        <w:rPr>
          <w:iCs/>
          <w:sz w:val="20"/>
          <w:szCs w:val="24"/>
        </w:rPr>
        <w:t xml:space="preserve"> trzy,</w:t>
      </w:r>
      <w:r w:rsidR="00B445A1" w:rsidRPr="00345F3C">
        <w:rPr>
          <w:iCs/>
          <w:sz w:val="20"/>
          <w:szCs w:val="24"/>
        </w:rPr>
        <w:t xml:space="preserve"> cztery razy w roku, w różnej wysokości. </w:t>
      </w:r>
    </w:p>
    <w:p w14:paraId="0F63F2E5" w14:textId="77777777" w:rsidR="00794984" w:rsidRPr="00345F3C" w:rsidRDefault="00794984" w:rsidP="00CB2C12">
      <w:pPr>
        <w:pStyle w:val="NoSpacing"/>
        <w:rPr>
          <w:iCs/>
          <w:sz w:val="20"/>
          <w:szCs w:val="24"/>
        </w:rPr>
      </w:pPr>
    </w:p>
    <w:p w14:paraId="7D3BE11E" w14:textId="0002D28D" w:rsidR="00AE55CE" w:rsidRPr="00345F3C" w:rsidRDefault="00AE55CE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Czasem za odrzuceniem wniosku stoi</w:t>
      </w:r>
      <w:r w:rsidR="00F21AAE" w:rsidRPr="00345F3C">
        <w:rPr>
          <w:iCs/>
          <w:sz w:val="20"/>
          <w:szCs w:val="24"/>
        </w:rPr>
        <w:t xml:space="preserve"> negatywny</w:t>
      </w:r>
      <w:r w:rsidRPr="00345F3C">
        <w:rPr>
          <w:iCs/>
          <w:sz w:val="20"/>
          <w:szCs w:val="24"/>
        </w:rPr>
        <w:t xml:space="preserve"> wpis</w:t>
      </w:r>
      <w:r w:rsidR="00F21AAE" w:rsidRPr="00345F3C">
        <w:rPr>
          <w:iCs/>
          <w:sz w:val="20"/>
          <w:szCs w:val="24"/>
        </w:rPr>
        <w:t xml:space="preserve"> w Biurze Informacji Kredytowej (BIK) lub Krajowym Rejestrze Długów (KRD). Może on dotyczyć opóźnienia w spłacie jakiegoś wcześniejszego zadłużenia o charakterze kredytowym lub</w:t>
      </w:r>
      <w:r w:rsidR="00F4484D" w:rsidRPr="00345F3C">
        <w:rPr>
          <w:iCs/>
          <w:sz w:val="20"/>
          <w:szCs w:val="24"/>
        </w:rPr>
        <w:t xml:space="preserve"> nawet</w:t>
      </w:r>
      <w:r w:rsidR="00F21AAE" w:rsidRPr="00345F3C">
        <w:rPr>
          <w:iCs/>
          <w:sz w:val="20"/>
          <w:szCs w:val="24"/>
        </w:rPr>
        <w:t xml:space="preserve"> niezapłaconych rachunków i faktur.</w:t>
      </w:r>
    </w:p>
    <w:p w14:paraId="50D17831" w14:textId="77777777" w:rsidR="004F17FF" w:rsidRPr="00345F3C" w:rsidRDefault="004F17FF" w:rsidP="00CB2C12">
      <w:pPr>
        <w:pStyle w:val="NoSpacing"/>
        <w:rPr>
          <w:iCs/>
          <w:sz w:val="20"/>
          <w:szCs w:val="24"/>
        </w:rPr>
      </w:pPr>
    </w:p>
    <w:p w14:paraId="0EFCD269" w14:textId="176228C3" w:rsidR="004F17FF" w:rsidRPr="00345F3C" w:rsidRDefault="00F4484D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Z</w:t>
      </w:r>
      <w:r w:rsidR="004F17FF" w:rsidRPr="00345F3C">
        <w:rPr>
          <w:iCs/>
          <w:sz w:val="20"/>
          <w:szCs w:val="24"/>
        </w:rPr>
        <w:t>darz</w:t>
      </w:r>
      <w:r w:rsidRPr="00345F3C">
        <w:rPr>
          <w:iCs/>
          <w:sz w:val="20"/>
          <w:szCs w:val="24"/>
        </w:rPr>
        <w:t>ają</w:t>
      </w:r>
      <w:r w:rsidR="004F17FF" w:rsidRPr="00345F3C">
        <w:rPr>
          <w:iCs/>
          <w:sz w:val="20"/>
          <w:szCs w:val="24"/>
        </w:rPr>
        <w:t xml:space="preserve"> się</w:t>
      </w:r>
      <w:r w:rsidRPr="00345F3C">
        <w:rPr>
          <w:iCs/>
          <w:sz w:val="20"/>
          <w:szCs w:val="24"/>
        </w:rPr>
        <w:t xml:space="preserve"> też</w:t>
      </w:r>
      <w:r w:rsidR="004F17FF" w:rsidRPr="00345F3C">
        <w:rPr>
          <w:iCs/>
          <w:sz w:val="20"/>
          <w:szCs w:val="24"/>
        </w:rPr>
        <w:t xml:space="preserve"> sytuacj</w:t>
      </w:r>
      <w:r w:rsidRPr="00345F3C">
        <w:rPr>
          <w:iCs/>
          <w:sz w:val="20"/>
          <w:szCs w:val="24"/>
        </w:rPr>
        <w:t>e</w:t>
      </w:r>
      <w:r w:rsidR="004F17FF" w:rsidRPr="00345F3C">
        <w:rPr>
          <w:iCs/>
          <w:sz w:val="20"/>
          <w:szCs w:val="24"/>
        </w:rPr>
        <w:t>, w któr</w:t>
      </w:r>
      <w:r w:rsidRPr="00345F3C">
        <w:rPr>
          <w:iCs/>
          <w:sz w:val="20"/>
          <w:szCs w:val="24"/>
        </w:rPr>
        <w:t>ych</w:t>
      </w:r>
      <w:r w:rsidR="004F17FF" w:rsidRPr="00345F3C">
        <w:rPr>
          <w:iCs/>
          <w:sz w:val="20"/>
          <w:szCs w:val="24"/>
        </w:rPr>
        <w:t xml:space="preserve"> wnioski są odrzucane masowo, w związku ze zmianami sytuacji makroekonomicznej w kraju. Ostatnio byliśmy świadkami takiego </w:t>
      </w:r>
      <w:r w:rsidRPr="00345F3C">
        <w:rPr>
          <w:iCs/>
          <w:sz w:val="20"/>
          <w:szCs w:val="24"/>
        </w:rPr>
        <w:t>obrotu spraw</w:t>
      </w:r>
      <w:r w:rsidR="00F119CB" w:rsidRPr="00345F3C">
        <w:rPr>
          <w:iCs/>
          <w:sz w:val="20"/>
          <w:szCs w:val="24"/>
        </w:rPr>
        <w:t xml:space="preserve"> w grudniu 2015 r. Wówczas to po zapowiedziach rządu o nowych obciążeniach, które mają zostać nałożone na sektor bankowy, kredytodawcy zmieniali swoj</w:t>
      </w:r>
      <w:r w:rsidR="00524F66" w:rsidRPr="00345F3C">
        <w:rPr>
          <w:iCs/>
          <w:sz w:val="20"/>
          <w:szCs w:val="24"/>
        </w:rPr>
        <w:t>e</w:t>
      </w:r>
      <w:r w:rsidR="00F119CB" w:rsidRPr="00345F3C">
        <w:rPr>
          <w:iCs/>
          <w:sz w:val="20"/>
          <w:szCs w:val="24"/>
        </w:rPr>
        <w:t xml:space="preserve"> ofert</w:t>
      </w:r>
      <w:r w:rsidR="00524F66" w:rsidRPr="00345F3C">
        <w:rPr>
          <w:iCs/>
          <w:sz w:val="20"/>
          <w:szCs w:val="24"/>
        </w:rPr>
        <w:t>y, a wnioski złożone w tym czasie były odrzucane</w:t>
      </w:r>
      <w:r w:rsidRPr="00345F3C">
        <w:rPr>
          <w:iCs/>
          <w:sz w:val="20"/>
          <w:szCs w:val="24"/>
        </w:rPr>
        <w:t xml:space="preserve"> nawet</w:t>
      </w:r>
      <w:r w:rsidR="00524F66" w:rsidRPr="00345F3C">
        <w:rPr>
          <w:iCs/>
          <w:sz w:val="20"/>
          <w:szCs w:val="24"/>
        </w:rPr>
        <w:t xml:space="preserve"> bez analizy. </w:t>
      </w:r>
    </w:p>
    <w:p w14:paraId="475D283C" w14:textId="77777777" w:rsidR="00794984" w:rsidRPr="00345F3C" w:rsidRDefault="00794984" w:rsidP="00CB2C12">
      <w:pPr>
        <w:pStyle w:val="NoSpacing"/>
        <w:rPr>
          <w:iCs/>
          <w:sz w:val="20"/>
          <w:szCs w:val="24"/>
        </w:rPr>
      </w:pPr>
    </w:p>
    <w:p w14:paraId="0CA511DD" w14:textId="188B24BA" w:rsidR="00794984" w:rsidRPr="00345F3C" w:rsidRDefault="00794984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 xml:space="preserve">– </w:t>
      </w:r>
      <w:r w:rsidRPr="00345F3C">
        <w:rPr>
          <w:i/>
          <w:iCs/>
          <w:sz w:val="20"/>
          <w:szCs w:val="24"/>
        </w:rPr>
        <w:t xml:space="preserve">W </w:t>
      </w:r>
      <w:r w:rsidR="0057391E" w:rsidRPr="00345F3C">
        <w:rPr>
          <w:i/>
          <w:iCs/>
          <w:sz w:val="20"/>
          <w:szCs w:val="24"/>
        </w:rPr>
        <w:t>przypadku</w:t>
      </w:r>
      <w:r w:rsidR="00273182" w:rsidRPr="00345F3C">
        <w:rPr>
          <w:i/>
          <w:iCs/>
          <w:sz w:val="20"/>
          <w:szCs w:val="24"/>
        </w:rPr>
        <w:t xml:space="preserve"> odrzucenia wniosku</w:t>
      </w:r>
      <w:r w:rsidR="0057391E" w:rsidRPr="00345F3C">
        <w:rPr>
          <w:i/>
          <w:iCs/>
          <w:sz w:val="20"/>
          <w:szCs w:val="24"/>
        </w:rPr>
        <w:t xml:space="preserve"> staramy się przeanalizować, jakie mogły być przeszkody</w:t>
      </w:r>
      <w:r w:rsidRPr="00345F3C">
        <w:rPr>
          <w:i/>
          <w:iCs/>
          <w:sz w:val="20"/>
          <w:szCs w:val="24"/>
        </w:rPr>
        <w:t xml:space="preserve"> w uzyskaniu pozytywnej decyzji banku</w:t>
      </w:r>
      <w:r w:rsidR="0057391E" w:rsidRPr="00345F3C">
        <w:rPr>
          <w:i/>
          <w:iCs/>
          <w:sz w:val="20"/>
          <w:szCs w:val="24"/>
        </w:rPr>
        <w:t>. Jeśli</w:t>
      </w:r>
      <w:r w:rsidR="00A02C73" w:rsidRPr="00345F3C">
        <w:rPr>
          <w:i/>
          <w:iCs/>
          <w:sz w:val="20"/>
          <w:szCs w:val="24"/>
        </w:rPr>
        <w:t xml:space="preserve"> klient sam prowadził rozmowy </w:t>
      </w:r>
      <w:r w:rsidR="0057391E" w:rsidRPr="00345F3C">
        <w:rPr>
          <w:i/>
          <w:iCs/>
          <w:sz w:val="20"/>
          <w:szCs w:val="24"/>
        </w:rPr>
        <w:t>lub</w:t>
      </w:r>
      <w:r w:rsidRPr="00345F3C">
        <w:rPr>
          <w:i/>
          <w:iCs/>
          <w:sz w:val="20"/>
          <w:szCs w:val="24"/>
        </w:rPr>
        <w:t xml:space="preserve"> korzystał z usług</w:t>
      </w:r>
      <w:r w:rsidR="00A02C73" w:rsidRPr="00345F3C">
        <w:rPr>
          <w:i/>
          <w:iCs/>
          <w:sz w:val="20"/>
          <w:szCs w:val="24"/>
        </w:rPr>
        <w:t xml:space="preserve"> samodzielnie</w:t>
      </w:r>
      <w:r w:rsidRPr="00345F3C">
        <w:rPr>
          <w:i/>
          <w:iCs/>
          <w:sz w:val="20"/>
          <w:szCs w:val="24"/>
        </w:rPr>
        <w:t xml:space="preserve"> wybranego doradcy kredytowego, </w:t>
      </w:r>
      <w:r w:rsidR="00A02C73" w:rsidRPr="00345F3C">
        <w:rPr>
          <w:i/>
          <w:iCs/>
          <w:sz w:val="20"/>
          <w:szCs w:val="24"/>
        </w:rPr>
        <w:t xml:space="preserve">sugerujemy ponowną próbę, ale z doradcą współpracującym z naszym biurem sprzedaży </w:t>
      </w:r>
      <w:r w:rsidR="00273182" w:rsidRPr="00345F3C">
        <w:rPr>
          <w:iCs/>
          <w:sz w:val="20"/>
          <w:szCs w:val="24"/>
        </w:rPr>
        <w:t>–</w:t>
      </w:r>
      <w:r w:rsidR="00A02C73" w:rsidRPr="00345F3C">
        <w:rPr>
          <w:iCs/>
          <w:sz w:val="20"/>
          <w:szCs w:val="24"/>
        </w:rPr>
        <w:t xml:space="preserve"> wyjaśnia Olszyńska. – </w:t>
      </w:r>
      <w:r w:rsidR="00A02C73" w:rsidRPr="00345F3C">
        <w:rPr>
          <w:i/>
          <w:iCs/>
          <w:sz w:val="20"/>
          <w:szCs w:val="24"/>
        </w:rPr>
        <w:t>Nie są wyjątkiem sytuacje, w</w:t>
      </w:r>
      <w:r w:rsidR="00682D3C" w:rsidRPr="00345F3C">
        <w:rPr>
          <w:i/>
          <w:iCs/>
          <w:sz w:val="20"/>
          <w:szCs w:val="24"/>
        </w:rPr>
        <w:t xml:space="preserve"> których nasi doradcy mają dostęp do dedykowanych ofert i</w:t>
      </w:r>
      <w:r w:rsidR="002C6529" w:rsidRPr="00345F3C">
        <w:rPr>
          <w:i/>
          <w:iCs/>
          <w:sz w:val="20"/>
          <w:szCs w:val="24"/>
        </w:rPr>
        <w:t xml:space="preserve"> właśnie</w:t>
      </w:r>
      <w:r w:rsidR="00682D3C" w:rsidRPr="00345F3C">
        <w:rPr>
          <w:i/>
          <w:iCs/>
          <w:sz w:val="20"/>
          <w:szCs w:val="24"/>
        </w:rPr>
        <w:t xml:space="preserve"> dzięki temu pomagają znaleźć finansowanie zakupu wybranego</w:t>
      </w:r>
      <w:r w:rsidR="002C6529" w:rsidRPr="00345F3C">
        <w:rPr>
          <w:i/>
          <w:iCs/>
          <w:sz w:val="20"/>
          <w:szCs w:val="24"/>
        </w:rPr>
        <w:t xml:space="preserve"> przez</w:t>
      </w:r>
      <w:r w:rsidR="00B525C8">
        <w:rPr>
          <w:i/>
          <w:iCs/>
          <w:sz w:val="20"/>
          <w:szCs w:val="24"/>
        </w:rPr>
        <w:t xml:space="preserve"> </w:t>
      </w:r>
      <w:proofErr w:type="spellStart"/>
      <w:r w:rsidR="00B525C8">
        <w:rPr>
          <w:i/>
          <w:iCs/>
          <w:sz w:val="20"/>
          <w:szCs w:val="24"/>
        </w:rPr>
        <w:t>kilienta</w:t>
      </w:r>
      <w:proofErr w:type="spellEnd"/>
      <w:r w:rsidR="00682D3C" w:rsidRPr="00345F3C">
        <w:rPr>
          <w:i/>
          <w:iCs/>
          <w:sz w:val="20"/>
          <w:szCs w:val="24"/>
        </w:rPr>
        <w:t xml:space="preserve"> mieszkania. </w:t>
      </w:r>
    </w:p>
    <w:p w14:paraId="28A9EFF1" w14:textId="77777777" w:rsidR="00774E89" w:rsidRPr="00345F3C" w:rsidRDefault="00774E89" w:rsidP="00CB2C12">
      <w:pPr>
        <w:pStyle w:val="NoSpacing"/>
        <w:rPr>
          <w:iCs/>
          <w:sz w:val="20"/>
          <w:szCs w:val="24"/>
        </w:rPr>
      </w:pPr>
    </w:p>
    <w:p w14:paraId="1A66BB08" w14:textId="7221EA82" w:rsidR="00774E89" w:rsidRPr="00345F3C" w:rsidRDefault="00774E89" w:rsidP="00CB2C12">
      <w:pPr>
        <w:pStyle w:val="NoSpacing"/>
        <w:rPr>
          <w:b/>
          <w:iCs/>
          <w:sz w:val="20"/>
          <w:szCs w:val="24"/>
        </w:rPr>
      </w:pPr>
      <w:r w:rsidRPr="00345F3C">
        <w:rPr>
          <w:b/>
          <w:iCs/>
          <w:sz w:val="20"/>
          <w:szCs w:val="24"/>
        </w:rPr>
        <w:t>Kochaj albo rzuć</w:t>
      </w:r>
    </w:p>
    <w:p w14:paraId="45A8D4E3" w14:textId="77777777" w:rsidR="00076BE4" w:rsidRPr="00345F3C" w:rsidRDefault="00076BE4" w:rsidP="00CB2C12">
      <w:pPr>
        <w:pStyle w:val="NoSpacing"/>
        <w:rPr>
          <w:b/>
          <w:iCs/>
          <w:sz w:val="20"/>
          <w:szCs w:val="24"/>
        </w:rPr>
      </w:pPr>
    </w:p>
    <w:p w14:paraId="78FBD9E9" w14:textId="1AA8BD76" w:rsidR="00076BE4" w:rsidRPr="00345F3C" w:rsidRDefault="00DD44E7" w:rsidP="00CB2C12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 xml:space="preserve">Trzecia przyczyna „zwrotu” mieszkania to rozstania klientów. Dotyczy to zarówno rozwodów, jak i rozejścia się par w związkach nieformalnych. Oficjalne statystyki </w:t>
      </w:r>
      <w:r w:rsidR="00BA3793" w:rsidRPr="00345F3C">
        <w:rPr>
          <w:iCs/>
          <w:sz w:val="20"/>
          <w:szCs w:val="24"/>
        </w:rPr>
        <w:t xml:space="preserve">mówią o ok. 60 tys. </w:t>
      </w:r>
      <w:r w:rsidR="00D12C1C" w:rsidRPr="00345F3C">
        <w:rPr>
          <w:iCs/>
          <w:sz w:val="20"/>
          <w:szCs w:val="24"/>
        </w:rPr>
        <w:t xml:space="preserve">rozwodów rocznie, z czego przeważająca większość przypada na duże miasta, gdzie pary rozchodzą się trzy razy częściej niż na wsi. </w:t>
      </w:r>
    </w:p>
    <w:p w14:paraId="62D83BB7" w14:textId="77777777" w:rsidR="00953C1D" w:rsidRPr="00345F3C" w:rsidRDefault="00953C1D" w:rsidP="00CB2C12">
      <w:pPr>
        <w:pStyle w:val="NoSpacing"/>
        <w:rPr>
          <w:iCs/>
          <w:sz w:val="20"/>
          <w:szCs w:val="24"/>
        </w:rPr>
      </w:pPr>
    </w:p>
    <w:p w14:paraId="26EB4D1B" w14:textId="060B76D1" w:rsidR="00D20AF5" w:rsidRPr="00345F3C" w:rsidRDefault="00273182" w:rsidP="00CB2C12">
      <w:pPr>
        <w:pStyle w:val="NoSpacing"/>
        <w:rPr>
          <w:i/>
          <w:iCs/>
          <w:sz w:val="20"/>
          <w:szCs w:val="24"/>
        </w:rPr>
      </w:pPr>
      <w:r w:rsidRPr="00345F3C">
        <w:rPr>
          <w:i/>
          <w:iCs/>
          <w:sz w:val="20"/>
          <w:szCs w:val="24"/>
        </w:rPr>
        <w:t xml:space="preserve">– Podobnie </w:t>
      </w:r>
      <w:r w:rsidR="00D20AF5" w:rsidRPr="00345F3C">
        <w:rPr>
          <w:i/>
          <w:iCs/>
          <w:sz w:val="20"/>
          <w:szCs w:val="24"/>
        </w:rPr>
        <w:t>jak sytuacja zawo</w:t>
      </w:r>
      <w:r w:rsidRPr="00345F3C">
        <w:rPr>
          <w:i/>
          <w:iCs/>
          <w:sz w:val="20"/>
          <w:szCs w:val="24"/>
        </w:rPr>
        <w:t xml:space="preserve">dowa może być dynamiczna, tak </w:t>
      </w:r>
      <w:r w:rsidR="00D20AF5" w:rsidRPr="00345F3C">
        <w:rPr>
          <w:i/>
          <w:iCs/>
          <w:sz w:val="20"/>
          <w:szCs w:val="24"/>
        </w:rPr>
        <w:t>historia miłosna może być</w:t>
      </w:r>
      <w:r w:rsidRPr="00345F3C">
        <w:rPr>
          <w:i/>
          <w:iCs/>
          <w:sz w:val="20"/>
          <w:szCs w:val="24"/>
        </w:rPr>
        <w:t xml:space="preserve"> czasem</w:t>
      </w:r>
      <w:r w:rsidR="00D20AF5" w:rsidRPr="00345F3C">
        <w:rPr>
          <w:i/>
          <w:iCs/>
          <w:sz w:val="20"/>
          <w:szCs w:val="24"/>
        </w:rPr>
        <w:t xml:space="preserve"> przewrotna. Niestety zdarza się, że nawet</w:t>
      </w:r>
      <w:r w:rsidRPr="00345F3C">
        <w:rPr>
          <w:i/>
          <w:iCs/>
          <w:sz w:val="20"/>
          <w:szCs w:val="24"/>
        </w:rPr>
        <w:t xml:space="preserve"> </w:t>
      </w:r>
      <w:r w:rsidR="00D20AF5" w:rsidRPr="00345F3C">
        <w:rPr>
          <w:i/>
          <w:iCs/>
          <w:sz w:val="20"/>
          <w:szCs w:val="24"/>
        </w:rPr>
        <w:t>najbardziej zakochane na etapie zakupu pary potem nie odnajdują już nici porozumienia</w:t>
      </w:r>
      <w:r w:rsidRPr="00345F3C">
        <w:rPr>
          <w:i/>
          <w:iCs/>
          <w:sz w:val="20"/>
          <w:szCs w:val="24"/>
        </w:rPr>
        <w:t xml:space="preserve"> – </w:t>
      </w:r>
      <w:r w:rsidRPr="00345F3C">
        <w:rPr>
          <w:iCs/>
          <w:sz w:val="20"/>
          <w:szCs w:val="24"/>
        </w:rPr>
        <w:t>zwraca uwagę szefowa sprzedaży w Nickel Development. –</w:t>
      </w:r>
      <w:r w:rsidR="00D20AF5" w:rsidRPr="00345F3C">
        <w:rPr>
          <w:i/>
          <w:iCs/>
          <w:sz w:val="20"/>
          <w:szCs w:val="24"/>
        </w:rPr>
        <w:t xml:space="preserve"> </w:t>
      </w:r>
      <w:r w:rsidRPr="00345F3C">
        <w:rPr>
          <w:i/>
          <w:iCs/>
          <w:sz w:val="20"/>
          <w:szCs w:val="24"/>
        </w:rPr>
        <w:t>W tak</w:t>
      </w:r>
      <w:r w:rsidR="00D20AF5" w:rsidRPr="00345F3C">
        <w:rPr>
          <w:i/>
          <w:iCs/>
          <w:sz w:val="20"/>
          <w:szCs w:val="24"/>
        </w:rPr>
        <w:t xml:space="preserve"> bardzo delikatn</w:t>
      </w:r>
      <w:r w:rsidRPr="00345F3C">
        <w:rPr>
          <w:i/>
          <w:iCs/>
          <w:sz w:val="20"/>
          <w:szCs w:val="24"/>
        </w:rPr>
        <w:t>ych</w:t>
      </w:r>
      <w:r w:rsidR="00D20AF5" w:rsidRPr="00345F3C">
        <w:rPr>
          <w:i/>
          <w:iCs/>
          <w:sz w:val="20"/>
          <w:szCs w:val="24"/>
        </w:rPr>
        <w:t xml:space="preserve"> spraw</w:t>
      </w:r>
      <w:r w:rsidRPr="00345F3C">
        <w:rPr>
          <w:i/>
          <w:iCs/>
          <w:sz w:val="20"/>
          <w:szCs w:val="24"/>
        </w:rPr>
        <w:t>ach</w:t>
      </w:r>
      <w:r w:rsidR="00D20AF5" w:rsidRPr="00345F3C">
        <w:rPr>
          <w:i/>
          <w:iCs/>
          <w:sz w:val="20"/>
          <w:szCs w:val="24"/>
        </w:rPr>
        <w:t xml:space="preserve"> staramy się być elastyczni wobec klientów, bo z pewnością rozstania nie są dla nich łatwym przeżyciem. </w:t>
      </w:r>
      <w:r w:rsidR="0037042A" w:rsidRPr="00345F3C">
        <w:rPr>
          <w:i/>
          <w:iCs/>
          <w:sz w:val="20"/>
          <w:szCs w:val="24"/>
        </w:rPr>
        <w:t>Dzięki temu część osób</w:t>
      </w:r>
      <w:r w:rsidR="00D20AF5" w:rsidRPr="00345F3C">
        <w:rPr>
          <w:i/>
          <w:iCs/>
          <w:sz w:val="20"/>
          <w:szCs w:val="24"/>
        </w:rPr>
        <w:t xml:space="preserve"> decyduj</w:t>
      </w:r>
      <w:r w:rsidR="0037042A" w:rsidRPr="00345F3C">
        <w:rPr>
          <w:i/>
          <w:iCs/>
          <w:sz w:val="20"/>
          <w:szCs w:val="24"/>
        </w:rPr>
        <w:t>e</w:t>
      </w:r>
      <w:r w:rsidR="00D20AF5" w:rsidRPr="00345F3C">
        <w:rPr>
          <w:i/>
          <w:iCs/>
          <w:sz w:val="20"/>
          <w:szCs w:val="24"/>
        </w:rPr>
        <w:t xml:space="preserve"> się kontynuować zakup i urządzanie mieszkania w pojedynkę</w:t>
      </w:r>
      <w:r w:rsidR="0037042A" w:rsidRPr="00345F3C">
        <w:rPr>
          <w:i/>
          <w:iCs/>
          <w:sz w:val="20"/>
          <w:szCs w:val="24"/>
        </w:rPr>
        <w:t>.</w:t>
      </w:r>
    </w:p>
    <w:p w14:paraId="1B21DCF5" w14:textId="77777777" w:rsidR="00B72710" w:rsidRPr="00345F3C" w:rsidRDefault="00B72710" w:rsidP="00CB2C12">
      <w:pPr>
        <w:pStyle w:val="NoSpacing"/>
        <w:rPr>
          <w:i/>
          <w:iCs/>
          <w:sz w:val="20"/>
          <w:szCs w:val="24"/>
        </w:rPr>
      </w:pPr>
    </w:p>
    <w:p w14:paraId="7D266024" w14:textId="77777777" w:rsidR="00B72710" w:rsidRPr="00345F3C" w:rsidRDefault="00B72710" w:rsidP="00CB2C12">
      <w:pPr>
        <w:pStyle w:val="NoSpacing"/>
        <w:rPr>
          <w:b/>
          <w:iCs/>
          <w:sz w:val="20"/>
          <w:szCs w:val="24"/>
        </w:rPr>
      </w:pPr>
      <w:r w:rsidRPr="00345F3C">
        <w:rPr>
          <w:b/>
          <w:iCs/>
          <w:sz w:val="20"/>
          <w:szCs w:val="24"/>
        </w:rPr>
        <w:t>I co teraz?</w:t>
      </w:r>
    </w:p>
    <w:p w14:paraId="65079E6B" w14:textId="77777777" w:rsidR="00B72710" w:rsidRPr="00345F3C" w:rsidRDefault="00B72710" w:rsidP="00CB2C12">
      <w:pPr>
        <w:pStyle w:val="NoSpacing"/>
        <w:rPr>
          <w:b/>
          <w:iCs/>
          <w:sz w:val="20"/>
          <w:szCs w:val="24"/>
        </w:rPr>
      </w:pPr>
    </w:p>
    <w:p w14:paraId="46356882" w14:textId="61401909" w:rsidR="00982644" w:rsidRPr="00345F3C" w:rsidRDefault="00B72710" w:rsidP="00982644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Rezygnacja z zakupu jest zwykle odstąpieniem od warunków umowy zawartej z deweloperem, więc jej konsekwencją jest kara umowna,</w:t>
      </w:r>
      <w:r w:rsidR="00F4484D" w:rsidRPr="00345F3C">
        <w:rPr>
          <w:iCs/>
          <w:sz w:val="20"/>
          <w:szCs w:val="24"/>
        </w:rPr>
        <w:t xml:space="preserve"> której wysokość jest uzależni</w:t>
      </w:r>
      <w:r w:rsidR="00EA2681" w:rsidRPr="00345F3C">
        <w:rPr>
          <w:iCs/>
          <w:sz w:val="20"/>
          <w:szCs w:val="24"/>
        </w:rPr>
        <w:t>ona od ceny nieruchomości, będącej przedmiotem transakcji</w:t>
      </w:r>
      <w:r w:rsidRPr="00345F3C">
        <w:rPr>
          <w:iCs/>
          <w:sz w:val="20"/>
          <w:szCs w:val="24"/>
        </w:rPr>
        <w:t xml:space="preserve">. </w:t>
      </w:r>
      <w:r w:rsidR="00EA2681" w:rsidRPr="00345F3C">
        <w:rPr>
          <w:iCs/>
          <w:sz w:val="20"/>
          <w:szCs w:val="24"/>
        </w:rPr>
        <w:t>Trzeba jednak pamiętać, że odstąpienie</w:t>
      </w:r>
      <w:r w:rsidR="00982644" w:rsidRPr="00345F3C">
        <w:rPr>
          <w:iCs/>
          <w:sz w:val="20"/>
          <w:szCs w:val="24"/>
        </w:rPr>
        <w:t xml:space="preserve"> to wybór, który pozwala uniknąć większych kosztów w późniejszym okresie. </w:t>
      </w:r>
    </w:p>
    <w:p w14:paraId="271AFACB" w14:textId="77777777" w:rsidR="005F5C85" w:rsidRPr="00345F3C" w:rsidRDefault="005F5C85" w:rsidP="00982644">
      <w:pPr>
        <w:pStyle w:val="NoSpacing"/>
        <w:rPr>
          <w:iCs/>
          <w:sz w:val="20"/>
          <w:szCs w:val="24"/>
        </w:rPr>
      </w:pPr>
    </w:p>
    <w:p w14:paraId="04BA5F78" w14:textId="15575796" w:rsidR="00005877" w:rsidRPr="00345F3C" w:rsidRDefault="005F5C85" w:rsidP="00982644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lastRenderedPageBreak/>
        <w:t>Jeśli</w:t>
      </w:r>
      <w:r w:rsidR="0037042A" w:rsidRPr="00345F3C">
        <w:rPr>
          <w:iCs/>
          <w:sz w:val="20"/>
          <w:szCs w:val="24"/>
        </w:rPr>
        <w:t xml:space="preserve"> klient</w:t>
      </w:r>
      <w:r w:rsidRPr="00345F3C">
        <w:rPr>
          <w:iCs/>
          <w:sz w:val="20"/>
          <w:szCs w:val="24"/>
        </w:rPr>
        <w:t xml:space="preserve"> ma zamiar odstąpić</w:t>
      </w:r>
      <w:r w:rsidR="00AD50DB">
        <w:rPr>
          <w:iCs/>
          <w:sz w:val="20"/>
          <w:szCs w:val="24"/>
        </w:rPr>
        <w:t xml:space="preserve"> od zakupu</w:t>
      </w:r>
      <w:bookmarkStart w:id="0" w:name="_GoBack"/>
      <w:bookmarkEnd w:id="0"/>
      <w:r w:rsidRPr="00345F3C">
        <w:rPr>
          <w:iCs/>
          <w:sz w:val="20"/>
          <w:szCs w:val="24"/>
        </w:rPr>
        <w:t xml:space="preserve"> z jednej z </w:t>
      </w:r>
      <w:r w:rsidR="002C6529" w:rsidRPr="00345F3C">
        <w:rPr>
          <w:iCs/>
          <w:sz w:val="20"/>
          <w:szCs w:val="24"/>
        </w:rPr>
        <w:t>opisanych tutaj</w:t>
      </w:r>
      <w:r w:rsidRPr="00345F3C">
        <w:rPr>
          <w:iCs/>
          <w:sz w:val="20"/>
          <w:szCs w:val="24"/>
        </w:rPr>
        <w:t xml:space="preserve"> przyczyn, musi </w:t>
      </w:r>
      <w:r w:rsidR="0037042A" w:rsidRPr="00345F3C">
        <w:rPr>
          <w:iCs/>
          <w:sz w:val="20"/>
          <w:szCs w:val="24"/>
        </w:rPr>
        <w:t xml:space="preserve">zapłacić karę ujętą w zapisach umowy. </w:t>
      </w:r>
      <w:r w:rsidR="002C6529" w:rsidRPr="00345F3C">
        <w:rPr>
          <w:iCs/>
          <w:sz w:val="20"/>
          <w:szCs w:val="24"/>
        </w:rPr>
        <w:t>Jednak w</w:t>
      </w:r>
      <w:r w:rsidR="0037042A" w:rsidRPr="00345F3C">
        <w:rPr>
          <w:iCs/>
          <w:sz w:val="20"/>
          <w:szCs w:val="24"/>
        </w:rPr>
        <w:t xml:space="preserve"> wybranych przypadkach można karę negocjować</w:t>
      </w:r>
      <w:r w:rsidR="002032A5" w:rsidRPr="00345F3C">
        <w:rPr>
          <w:iCs/>
          <w:sz w:val="20"/>
          <w:szCs w:val="24"/>
        </w:rPr>
        <w:t xml:space="preserve"> z deweloperem</w:t>
      </w:r>
      <w:r w:rsidR="0037042A" w:rsidRPr="00345F3C">
        <w:rPr>
          <w:iCs/>
          <w:sz w:val="20"/>
          <w:szCs w:val="24"/>
        </w:rPr>
        <w:t>. Jak to bywa w negocjacjach – trzeba mieć jednak coś do zaoferowania.</w:t>
      </w:r>
      <w:r w:rsidR="002032A5" w:rsidRPr="00345F3C">
        <w:rPr>
          <w:iCs/>
          <w:sz w:val="20"/>
          <w:szCs w:val="24"/>
        </w:rPr>
        <w:t xml:space="preserve"> Czasem rozwiązaniem jest zakup innego mieszkania z aktualnej oferty dewelopera.</w:t>
      </w:r>
      <w:r w:rsidR="0037042A" w:rsidRPr="00345F3C">
        <w:rPr>
          <w:iCs/>
          <w:sz w:val="20"/>
          <w:szCs w:val="24"/>
        </w:rPr>
        <w:t xml:space="preserve"> </w:t>
      </w:r>
      <w:r w:rsidR="00996045" w:rsidRPr="00345F3C">
        <w:rPr>
          <w:iCs/>
          <w:sz w:val="20"/>
          <w:szCs w:val="24"/>
        </w:rPr>
        <w:t>Dobrą</w:t>
      </w:r>
      <w:r w:rsidR="00005877" w:rsidRPr="00345F3C">
        <w:rPr>
          <w:iCs/>
          <w:sz w:val="20"/>
          <w:szCs w:val="24"/>
        </w:rPr>
        <w:t xml:space="preserve"> opcją jest</w:t>
      </w:r>
      <w:r w:rsidR="002032A5" w:rsidRPr="00345F3C">
        <w:rPr>
          <w:iCs/>
          <w:sz w:val="20"/>
          <w:szCs w:val="24"/>
        </w:rPr>
        <w:t xml:space="preserve"> też</w:t>
      </w:r>
      <w:r w:rsidR="00005877" w:rsidRPr="00345F3C">
        <w:rPr>
          <w:iCs/>
          <w:sz w:val="20"/>
          <w:szCs w:val="24"/>
        </w:rPr>
        <w:t xml:space="preserve"> znalezienie innego nabywcy, który „przejmie” mieszkanie będące przedmiotem transakcji</w:t>
      </w:r>
      <w:r w:rsidR="002032A5" w:rsidRPr="00345F3C">
        <w:rPr>
          <w:iCs/>
          <w:sz w:val="20"/>
          <w:szCs w:val="24"/>
        </w:rPr>
        <w:t>. Mamy na to zwykle określony czas i nie zawsze się to udaje.</w:t>
      </w:r>
    </w:p>
    <w:p w14:paraId="158E01F7" w14:textId="77777777" w:rsidR="00982644" w:rsidRPr="00345F3C" w:rsidRDefault="00982644" w:rsidP="00982644">
      <w:pPr>
        <w:pStyle w:val="NoSpacing"/>
        <w:rPr>
          <w:iCs/>
          <w:sz w:val="20"/>
          <w:szCs w:val="24"/>
        </w:rPr>
      </w:pPr>
    </w:p>
    <w:p w14:paraId="1193FB97" w14:textId="61520E25" w:rsidR="00CC796D" w:rsidRPr="00345F3C" w:rsidRDefault="00C147DD" w:rsidP="00982644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 xml:space="preserve">Takie mieszkanie, z którego zrezygnowali klienci, wraca wówczas do oferty i często stanowi łakomy kąsek dla poszukujących lokalu, który </w:t>
      </w:r>
      <w:r w:rsidR="00EA2681" w:rsidRPr="00345F3C">
        <w:rPr>
          <w:iCs/>
          <w:sz w:val="20"/>
          <w:szCs w:val="24"/>
        </w:rPr>
        <w:t>będzie</w:t>
      </w:r>
      <w:r w:rsidRPr="00345F3C">
        <w:rPr>
          <w:iCs/>
          <w:sz w:val="20"/>
          <w:szCs w:val="24"/>
        </w:rPr>
        <w:t xml:space="preserve"> szybko dostępny. Aktualnie dostępn</w:t>
      </w:r>
      <w:r w:rsidR="00CC796D" w:rsidRPr="00345F3C">
        <w:rPr>
          <w:iCs/>
          <w:sz w:val="20"/>
          <w:szCs w:val="24"/>
        </w:rPr>
        <w:t>y</w:t>
      </w:r>
      <w:r w:rsidRPr="00345F3C">
        <w:rPr>
          <w:iCs/>
          <w:sz w:val="20"/>
          <w:szCs w:val="24"/>
        </w:rPr>
        <w:t xml:space="preserve"> jest taki </w:t>
      </w:r>
      <w:r w:rsidR="00CC796D" w:rsidRPr="00345F3C">
        <w:rPr>
          <w:iCs/>
          <w:sz w:val="20"/>
          <w:szCs w:val="24"/>
        </w:rPr>
        <w:t>lokal</w:t>
      </w:r>
      <w:r w:rsidRPr="00345F3C">
        <w:rPr>
          <w:iCs/>
          <w:sz w:val="20"/>
          <w:szCs w:val="24"/>
        </w:rPr>
        <w:t xml:space="preserve"> na Osiedlu Księżnej Dąbrówki, w </w:t>
      </w:r>
      <w:r w:rsidR="00EA2681" w:rsidRPr="00345F3C">
        <w:rPr>
          <w:iCs/>
          <w:sz w:val="20"/>
          <w:szCs w:val="24"/>
        </w:rPr>
        <w:t>etapie Książęca, który już od dłuższego czasu jest ukończony</w:t>
      </w:r>
      <w:r w:rsidRPr="00345F3C">
        <w:rPr>
          <w:iCs/>
          <w:sz w:val="20"/>
          <w:szCs w:val="24"/>
        </w:rPr>
        <w:t>. To wygodne 75-metro</w:t>
      </w:r>
      <w:r w:rsidR="00CC796D" w:rsidRPr="00345F3C">
        <w:rPr>
          <w:iCs/>
          <w:sz w:val="20"/>
          <w:szCs w:val="24"/>
        </w:rPr>
        <w:t>we mieszkanie, gotowe do wprowadzenia się. Jego atut</w:t>
      </w:r>
      <w:r w:rsidR="00EA2681" w:rsidRPr="00345F3C">
        <w:rPr>
          <w:iCs/>
          <w:sz w:val="20"/>
          <w:szCs w:val="24"/>
        </w:rPr>
        <w:t>ami</w:t>
      </w:r>
      <w:r w:rsidR="00CC796D" w:rsidRPr="00345F3C">
        <w:rPr>
          <w:iCs/>
          <w:sz w:val="20"/>
          <w:szCs w:val="24"/>
        </w:rPr>
        <w:t xml:space="preserve"> są południowa wystawa, taras i ogród</w:t>
      </w:r>
      <w:r w:rsidR="00EA2681" w:rsidRPr="00345F3C">
        <w:rPr>
          <w:iCs/>
          <w:sz w:val="20"/>
          <w:szCs w:val="24"/>
        </w:rPr>
        <w:t>, a także bardzo praktyczny układ funkcjonalny</w:t>
      </w:r>
      <w:r w:rsidR="00CC796D" w:rsidRPr="00345F3C">
        <w:rPr>
          <w:iCs/>
          <w:sz w:val="20"/>
          <w:szCs w:val="24"/>
        </w:rPr>
        <w:t xml:space="preserve">. Cena tej nieruchomości to 330.000 zł. </w:t>
      </w:r>
    </w:p>
    <w:p w14:paraId="071CEE9B" w14:textId="77777777" w:rsidR="00CC796D" w:rsidRPr="00345F3C" w:rsidRDefault="00CC796D" w:rsidP="00982644">
      <w:pPr>
        <w:pStyle w:val="NoSpacing"/>
        <w:rPr>
          <w:iCs/>
          <w:sz w:val="20"/>
          <w:szCs w:val="24"/>
        </w:rPr>
      </w:pPr>
    </w:p>
    <w:p w14:paraId="202C29FE" w14:textId="1F92EDCC" w:rsidR="00C147DD" w:rsidRPr="00345F3C" w:rsidRDefault="00CC796D" w:rsidP="00982644">
      <w:pPr>
        <w:pStyle w:val="NoSpacing"/>
        <w:rPr>
          <w:iCs/>
          <w:sz w:val="20"/>
          <w:szCs w:val="24"/>
        </w:rPr>
      </w:pPr>
      <w:r w:rsidRPr="00345F3C">
        <w:rPr>
          <w:iCs/>
          <w:sz w:val="20"/>
          <w:szCs w:val="24"/>
        </w:rPr>
        <w:t>Dąbrówka</w:t>
      </w:r>
      <w:r w:rsidR="00EA2681" w:rsidRPr="00345F3C">
        <w:rPr>
          <w:iCs/>
          <w:sz w:val="20"/>
          <w:szCs w:val="24"/>
        </w:rPr>
        <w:t>, gdzie zlokalizowana jest „powracająca nieruchomość”</w:t>
      </w:r>
      <w:r w:rsidRPr="00345F3C">
        <w:rPr>
          <w:iCs/>
          <w:sz w:val="20"/>
          <w:szCs w:val="24"/>
        </w:rPr>
        <w:t xml:space="preserve"> jest jedną z najlepiej rozwiniętych miejscowości na przedmieściach Poznania. Znajdziemy tam pełną infrastrukturą społeczną, ze szkołą, galerią handlową, przychodnią lekarską oraz kościołem. Lokalizacja </w:t>
      </w:r>
      <w:r w:rsidR="00D20AF5" w:rsidRPr="00345F3C">
        <w:rPr>
          <w:iCs/>
          <w:sz w:val="20"/>
          <w:szCs w:val="24"/>
        </w:rPr>
        <w:t xml:space="preserve">po zachodniej stronie Poznania, </w:t>
      </w:r>
      <w:r w:rsidR="008F2F6C" w:rsidRPr="00345F3C">
        <w:rPr>
          <w:iCs/>
          <w:sz w:val="20"/>
          <w:szCs w:val="24"/>
        </w:rPr>
        <w:t>przy węźle</w:t>
      </w:r>
      <w:r w:rsidRPr="00345F3C">
        <w:rPr>
          <w:iCs/>
          <w:sz w:val="20"/>
          <w:szCs w:val="24"/>
        </w:rPr>
        <w:t xml:space="preserve"> obwodnicy miasta, sprawia że </w:t>
      </w:r>
      <w:r w:rsidR="008F2F6C" w:rsidRPr="00345F3C">
        <w:rPr>
          <w:iCs/>
          <w:sz w:val="20"/>
          <w:szCs w:val="24"/>
        </w:rPr>
        <w:t>mieszkańcy Dąbrówki mogą cieszyć się rów</w:t>
      </w:r>
      <w:r w:rsidR="002032A5" w:rsidRPr="00345F3C">
        <w:rPr>
          <w:iCs/>
          <w:sz w:val="20"/>
          <w:szCs w:val="24"/>
        </w:rPr>
        <w:t>nocześnie bliskością metropolii i</w:t>
      </w:r>
      <w:r w:rsidR="008F2F6C" w:rsidRPr="00345F3C">
        <w:rPr>
          <w:iCs/>
          <w:sz w:val="20"/>
          <w:szCs w:val="24"/>
        </w:rPr>
        <w:t xml:space="preserve"> spokojem </w:t>
      </w:r>
      <w:r w:rsidR="002032A5" w:rsidRPr="00345F3C">
        <w:rPr>
          <w:iCs/>
          <w:sz w:val="20"/>
          <w:szCs w:val="24"/>
        </w:rPr>
        <w:t>oraz</w:t>
      </w:r>
      <w:r w:rsidR="008F2F6C" w:rsidRPr="00345F3C">
        <w:rPr>
          <w:iCs/>
          <w:sz w:val="20"/>
          <w:szCs w:val="24"/>
        </w:rPr>
        <w:t xml:space="preserve"> wolnym tempem życia w małej miejscowości. </w:t>
      </w:r>
    </w:p>
    <w:p w14:paraId="61E39BB9" w14:textId="77777777" w:rsidR="00CC796D" w:rsidRPr="00345F3C" w:rsidRDefault="00CC796D" w:rsidP="00982644">
      <w:pPr>
        <w:pStyle w:val="NoSpacing"/>
        <w:rPr>
          <w:iCs/>
          <w:sz w:val="20"/>
          <w:szCs w:val="24"/>
        </w:rPr>
      </w:pPr>
    </w:p>
    <w:p w14:paraId="69AF780E" w14:textId="77777777" w:rsidR="00595126" w:rsidRPr="00345F3C" w:rsidRDefault="00595126" w:rsidP="00B53CB5">
      <w:pPr>
        <w:jc w:val="center"/>
        <w:rPr>
          <w:rFonts w:ascii="Arial" w:hAnsi="Arial"/>
          <w:sz w:val="20"/>
        </w:rPr>
      </w:pPr>
      <w:r w:rsidRPr="00345F3C">
        <w:rPr>
          <w:rFonts w:ascii="Arial" w:hAnsi="Arial"/>
          <w:sz w:val="20"/>
        </w:rPr>
        <w:t>###</w:t>
      </w:r>
    </w:p>
    <w:p w14:paraId="3AEC5DF6" w14:textId="77777777" w:rsidR="00595126" w:rsidRPr="00345F3C" w:rsidRDefault="00595126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Więcej informacji udzielają:</w:t>
      </w:r>
    </w:p>
    <w:p w14:paraId="18DD7F16" w14:textId="757C39AC" w:rsidR="00595126" w:rsidRPr="00345F3C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345F3C">
        <w:rPr>
          <w:rFonts w:ascii="Arial" w:hAnsi="Arial"/>
          <w:b/>
          <w:sz w:val="20"/>
          <w:szCs w:val="20"/>
        </w:rPr>
        <w:t>Agata Olszyńska</w:t>
      </w:r>
    </w:p>
    <w:p w14:paraId="046124DF" w14:textId="77777777" w:rsidR="00595126" w:rsidRPr="00345F3C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Dyrektor Sprzedaży i Marketingu</w:t>
      </w:r>
    </w:p>
    <w:p w14:paraId="1DD02321" w14:textId="77777777" w:rsidR="00595126" w:rsidRPr="00345F3C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NICKEL Development</w:t>
      </w:r>
    </w:p>
    <w:p w14:paraId="54E07198" w14:textId="77777777" w:rsidR="00595126" w:rsidRPr="00345F3C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kom</w:t>
      </w:r>
      <w:r w:rsidR="00595126" w:rsidRPr="00345F3C">
        <w:rPr>
          <w:rFonts w:ascii="Arial" w:hAnsi="Arial"/>
          <w:sz w:val="20"/>
          <w:szCs w:val="20"/>
        </w:rPr>
        <w:t>.: +48 505 043 457</w:t>
      </w:r>
    </w:p>
    <w:p w14:paraId="4172AE6F" w14:textId="77777777" w:rsidR="00595126" w:rsidRPr="00345F3C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email: agata.olszynska@nickel.com.pl</w:t>
      </w:r>
    </w:p>
    <w:p w14:paraId="679AA679" w14:textId="77777777" w:rsidR="00595126" w:rsidRPr="00345F3C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</w:p>
    <w:p w14:paraId="32F15B1B" w14:textId="77777777" w:rsidR="00595126" w:rsidRPr="00345F3C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345F3C">
        <w:rPr>
          <w:rFonts w:ascii="Arial" w:hAnsi="Arial"/>
          <w:b/>
          <w:sz w:val="20"/>
          <w:szCs w:val="20"/>
        </w:rPr>
        <w:t>Konrad Bugiera</w:t>
      </w:r>
    </w:p>
    <w:p w14:paraId="7040EAE8" w14:textId="77777777" w:rsidR="00D41D9F" w:rsidRPr="00345F3C" w:rsidRDefault="00D41D9F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Właściciel</w:t>
      </w:r>
    </w:p>
    <w:p w14:paraId="0580A6CB" w14:textId="77777777" w:rsidR="00595126" w:rsidRPr="00345F3C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Konrad Bugiera | Doradztwo Komunikacyjne</w:t>
      </w:r>
    </w:p>
    <w:p w14:paraId="338B6B6D" w14:textId="77777777" w:rsidR="00595126" w:rsidRPr="00345F3C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kom.: +48 663 850 702</w:t>
      </w:r>
    </w:p>
    <w:p w14:paraId="06A4F87D" w14:textId="77777777" w:rsidR="00595126" w:rsidRPr="00345F3C" w:rsidRDefault="00595126" w:rsidP="008D21E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 xml:space="preserve">email: </w:t>
      </w:r>
      <w:r w:rsidR="00BC2071" w:rsidRPr="00345F3C">
        <w:rPr>
          <w:rFonts w:ascii="Arial" w:hAnsi="Arial"/>
          <w:b/>
          <w:sz w:val="20"/>
          <w:szCs w:val="20"/>
        </w:rPr>
        <w:t>kb@konradbugiera.com</w:t>
      </w:r>
    </w:p>
    <w:p w14:paraId="01DD7642" w14:textId="77777777" w:rsidR="00595126" w:rsidRPr="00345F3C" w:rsidRDefault="00595126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--</w:t>
      </w:r>
    </w:p>
    <w:p w14:paraId="280E60D9" w14:textId="77777777" w:rsidR="00E3332F" w:rsidRPr="00345F3C" w:rsidRDefault="00E3332F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O NICKEL Development:</w:t>
      </w:r>
    </w:p>
    <w:p w14:paraId="4AA63861" w14:textId="77777777" w:rsidR="00E3332F" w:rsidRPr="00345F3C" w:rsidRDefault="00E3332F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sz w:val="20"/>
          <w:szCs w:val="20"/>
        </w:rPr>
        <w:t>NICKEL Developme</w:t>
      </w:r>
      <w:r w:rsidR="00C97CD7" w:rsidRPr="00345F3C">
        <w:rPr>
          <w:rFonts w:ascii="Arial" w:hAnsi="Arial"/>
          <w:sz w:val="20"/>
          <w:szCs w:val="20"/>
        </w:rPr>
        <w:t>n</w:t>
      </w:r>
      <w:r w:rsidRPr="00345F3C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65CDC005" w14:textId="77777777" w:rsidR="00E3332F" w:rsidRPr="00345F3C" w:rsidRDefault="00E3332F" w:rsidP="00101833">
      <w:pPr>
        <w:rPr>
          <w:rFonts w:ascii="Arial" w:hAnsi="Arial"/>
          <w:b/>
          <w:sz w:val="20"/>
          <w:szCs w:val="20"/>
        </w:rPr>
      </w:pPr>
      <w:r w:rsidRPr="00345F3C">
        <w:rPr>
          <w:rFonts w:ascii="Arial" w:hAnsi="Arial"/>
          <w:b/>
          <w:sz w:val="20"/>
          <w:szCs w:val="20"/>
        </w:rPr>
        <w:t>Warzelnia</w:t>
      </w:r>
      <w:r w:rsidRPr="00345F3C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 w:rsidRPr="00345F3C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345F3C">
        <w:rPr>
          <w:rFonts w:ascii="Arial" w:hAnsi="Arial"/>
          <w:b/>
          <w:sz w:val="20"/>
          <w:szCs w:val="20"/>
        </w:rPr>
        <w:t>warzelnia.com</w:t>
      </w:r>
    </w:p>
    <w:p w14:paraId="214C7767" w14:textId="77777777" w:rsidR="00E3332F" w:rsidRPr="00345F3C" w:rsidRDefault="00E3332F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b/>
          <w:sz w:val="20"/>
          <w:szCs w:val="20"/>
        </w:rPr>
        <w:lastRenderedPageBreak/>
        <w:t xml:space="preserve">Botaniczna </w:t>
      </w:r>
      <w:r w:rsidRPr="00345F3C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</w:t>
      </w:r>
      <w:r w:rsidR="00F27129" w:rsidRPr="00345F3C">
        <w:rPr>
          <w:rFonts w:ascii="Arial" w:hAnsi="Arial"/>
          <w:sz w:val="20"/>
          <w:szCs w:val="20"/>
        </w:rPr>
        <w:t>O</w:t>
      </w:r>
      <w:r w:rsidRPr="00345F3C">
        <w:rPr>
          <w:rFonts w:ascii="Arial" w:hAnsi="Arial"/>
          <w:sz w:val="20"/>
          <w:szCs w:val="20"/>
        </w:rPr>
        <w:t xml:space="preserve">ddanie do użytkowania I etapu osiedla </w:t>
      </w:r>
      <w:r w:rsidR="00F27129" w:rsidRPr="00345F3C">
        <w:rPr>
          <w:rFonts w:ascii="Arial" w:hAnsi="Arial"/>
          <w:sz w:val="20"/>
          <w:szCs w:val="20"/>
        </w:rPr>
        <w:t>rozpoczęło się w marcu</w:t>
      </w:r>
      <w:r w:rsidRPr="00345F3C">
        <w:rPr>
          <w:rFonts w:ascii="Arial" w:hAnsi="Arial"/>
          <w:sz w:val="20"/>
          <w:szCs w:val="20"/>
        </w:rPr>
        <w:t xml:space="preserve"> 2016 r.  </w:t>
      </w:r>
      <w:r w:rsidR="00AB09EF" w:rsidRPr="00345F3C">
        <w:rPr>
          <w:rFonts w:ascii="Arial" w:hAnsi="Arial"/>
          <w:sz w:val="20"/>
          <w:szCs w:val="20"/>
        </w:rPr>
        <w:t xml:space="preserve">W sprzedaży są mieszkania z 2 etapów osiedla. Szczegóły na stronie internetowej </w:t>
      </w:r>
      <w:r w:rsidR="00AB09EF" w:rsidRPr="00345F3C">
        <w:rPr>
          <w:rFonts w:ascii="Arial" w:hAnsi="Arial"/>
          <w:b/>
          <w:sz w:val="20"/>
          <w:szCs w:val="20"/>
        </w:rPr>
        <w:t>botaniczna.com</w:t>
      </w:r>
      <w:r w:rsidR="00AB09EF" w:rsidRPr="00345F3C">
        <w:rPr>
          <w:rFonts w:ascii="Arial" w:hAnsi="Arial"/>
          <w:sz w:val="20"/>
          <w:szCs w:val="20"/>
        </w:rPr>
        <w:t xml:space="preserve"> </w:t>
      </w:r>
    </w:p>
    <w:p w14:paraId="0D8D805D" w14:textId="77777777" w:rsidR="001C6186" w:rsidRPr="00B97AAA" w:rsidRDefault="00E3332F" w:rsidP="00101833">
      <w:pPr>
        <w:rPr>
          <w:rFonts w:ascii="Arial" w:hAnsi="Arial"/>
          <w:sz w:val="20"/>
          <w:szCs w:val="20"/>
        </w:rPr>
      </w:pPr>
      <w:r w:rsidRPr="00345F3C">
        <w:rPr>
          <w:rFonts w:ascii="Arial" w:hAnsi="Arial"/>
          <w:b/>
          <w:sz w:val="20"/>
          <w:szCs w:val="20"/>
        </w:rPr>
        <w:t>Osiedle Księżnej Dąbrówki</w:t>
      </w:r>
      <w:r w:rsidRPr="00345F3C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</w:t>
      </w:r>
      <w:r w:rsidR="00BC4DE5" w:rsidRPr="00345F3C">
        <w:rPr>
          <w:rFonts w:ascii="Arial" w:hAnsi="Arial"/>
          <w:sz w:val="20"/>
          <w:szCs w:val="20"/>
        </w:rPr>
        <w:t>dogodny</w:t>
      </w:r>
      <w:r w:rsidRPr="00345F3C">
        <w:rPr>
          <w:rFonts w:ascii="Arial" w:hAnsi="Arial"/>
          <w:sz w:val="20"/>
          <w:szCs w:val="20"/>
        </w:rPr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 w:rsidRPr="00345F3C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345F3C">
        <w:rPr>
          <w:rFonts w:ascii="Arial" w:hAnsi="Arial"/>
          <w:b/>
          <w:sz w:val="20"/>
          <w:szCs w:val="20"/>
        </w:rPr>
        <w:t>dabrowki.com.</w:t>
      </w:r>
    </w:p>
    <w:sectPr w:rsidR="001C6186" w:rsidRPr="00B97AAA" w:rsidSect="004D13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0828" w14:textId="77777777" w:rsidR="00B76CCF" w:rsidRDefault="00B76CCF" w:rsidP="00E47D03">
      <w:pPr>
        <w:spacing w:after="0" w:line="240" w:lineRule="auto"/>
      </w:pPr>
      <w:r>
        <w:separator/>
      </w:r>
    </w:p>
  </w:endnote>
  <w:endnote w:type="continuationSeparator" w:id="0">
    <w:p w14:paraId="24D852D7" w14:textId="77777777" w:rsidR="00B76CCF" w:rsidRDefault="00B76CCF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2FA3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6901C84F" w14:textId="77777777" w:rsidTr="003F0A6A">
      <w:tc>
        <w:tcPr>
          <w:tcW w:w="1101" w:type="dxa"/>
        </w:tcPr>
        <w:p w14:paraId="1F986419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796F18CA" wp14:editId="3616E9BB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3444CB6E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4E3D0537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15FDE90C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48E23193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2894A16E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046E6641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FB86" w14:textId="77777777" w:rsidR="00B76CCF" w:rsidRDefault="00B76CCF" w:rsidP="00E47D03">
      <w:pPr>
        <w:spacing w:after="0" w:line="240" w:lineRule="auto"/>
      </w:pPr>
      <w:r>
        <w:separator/>
      </w:r>
    </w:p>
  </w:footnote>
  <w:footnote w:type="continuationSeparator" w:id="0">
    <w:p w14:paraId="5EB866FE" w14:textId="77777777" w:rsidR="00B76CCF" w:rsidRDefault="00B76CCF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1B95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6ECC1B66" wp14:editId="274411E4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E3265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D6"/>
    <w:rsid w:val="00002D98"/>
    <w:rsid w:val="00004586"/>
    <w:rsid w:val="00005877"/>
    <w:rsid w:val="00013495"/>
    <w:rsid w:val="00030AA0"/>
    <w:rsid w:val="00036CF7"/>
    <w:rsid w:val="000602BF"/>
    <w:rsid w:val="00067E96"/>
    <w:rsid w:val="0007555A"/>
    <w:rsid w:val="000763BC"/>
    <w:rsid w:val="00076BE4"/>
    <w:rsid w:val="00085C4E"/>
    <w:rsid w:val="00085F8A"/>
    <w:rsid w:val="00090036"/>
    <w:rsid w:val="00096CDD"/>
    <w:rsid w:val="000A1B7E"/>
    <w:rsid w:val="000A237A"/>
    <w:rsid w:val="000A6107"/>
    <w:rsid w:val="000C3B72"/>
    <w:rsid w:val="000D0E02"/>
    <w:rsid w:val="000E3133"/>
    <w:rsid w:val="000E65DE"/>
    <w:rsid w:val="000E6F90"/>
    <w:rsid w:val="000F3107"/>
    <w:rsid w:val="00101833"/>
    <w:rsid w:val="00101BDD"/>
    <w:rsid w:val="0010402A"/>
    <w:rsid w:val="001044FD"/>
    <w:rsid w:val="00117B89"/>
    <w:rsid w:val="00130363"/>
    <w:rsid w:val="00130857"/>
    <w:rsid w:val="00137BF3"/>
    <w:rsid w:val="00144CA4"/>
    <w:rsid w:val="00147FFC"/>
    <w:rsid w:val="00166866"/>
    <w:rsid w:val="00170AAF"/>
    <w:rsid w:val="001721DB"/>
    <w:rsid w:val="00172942"/>
    <w:rsid w:val="00177B01"/>
    <w:rsid w:val="00185E7A"/>
    <w:rsid w:val="0019610F"/>
    <w:rsid w:val="001C6186"/>
    <w:rsid w:val="001C6224"/>
    <w:rsid w:val="001C6AF7"/>
    <w:rsid w:val="001D4A1D"/>
    <w:rsid w:val="001D7B6A"/>
    <w:rsid w:val="001E2269"/>
    <w:rsid w:val="001E4973"/>
    <w:rsid w:val="001E6E27"/>
    <w:rsid w:val="002032A5"/>
    <w:rsid w:val="00227AED"/>
    <w:rsid w:val="00237D7F"/>
    <w:rsid w:val="002437EE"/>
    <w:rsid w:val="00243AA1"/>
    <w:rsid w:val="0025373B"/>
    <w:rsid w:val="002604DD"/>
    <w:rsid w:val="002617E7"/>
    <w:rsid w:val="00264DD7"/>
    <w:rsid w:val="002707E8"/>
    <w:rsid w:val="00273182"/>
    <w:rsid w:val="00273600"/>
    <w:rsid w:val="00277A39"/>
    <w:rsid w:val="0028490A"/>
    <w:rsid w:val="00287320"/>
    <w:rsid w:val="002913B2"/>
    <w:rsid w:val="002919D2"/>
    <w:rsid w:val="00291B22"/>
    <w:rsid w:val="00297C1B"/>
    <w:rsid w:val="002A2F48"/>
    <w:rsid w:val="002A70F2"/>
    <w:rsid w:val="002B135A"/>
    <w:rsid w:val="002B5E08"/>
    <w:rsid w:val="002B6214"/>
    <w:rsid w:val="002C168C"/>
    <w:rsid w:val="002C6529"/>
    <w:rsid w:val="002D16F2"/>
    <w:rsid w:val="002D7EAD"/>
    <w:rsid w:val="002E4B9E"/>
    <w:rsid w:val="002E5206"/>
    <w:rsid w:val="002F3629"/>
    <w:rsid w:val="002F523E"/>
    <w:rsid w:val="003110D9"/>
    <w:rsid w:val="00314C46"/>
    <w:rsid w:val="0031561B"/>
    <w:rsid w:val="00317B44"/>
    <w:rsid w:val="00320021"/>
    <w:rsid w:val="00326AB8"/>
    <w:rsid w:val="003275BB"/>
    <w:rsid w:val="00335EEB"/>
    <w:rsid w:val="00335F61"/>
    <w:rsid w:val="00336876"/>
    <w:rsid w:val="00337A23"/>
    <w:rsid w:val="00340295"/>
    <w:rsid w:val="00341CC4"/>
    <w:rsid w:val="0034325A"/>
    <w:rsid w:val="00345F3C"/>
    <w:rsid w:val="00360635"/>
    <w:rsid w:val="00362082"/>
    <w:rsid w:val="00362F28"/>
    <w:rsid w:val="00363BE6"/>
    <w:rsid w:val="00363DF2"/>
    <w:rsid w:val="00364D54"/>
    <w:rsid w:val="003665F7"/>
    <w:rsid w:val="0037042A"/>
    <w:rsid w:val="003857D0"/>
    <w:rsid w:val="0039076E"/>
    <w:rsid w:val="0039669F"/>
    <w:rsid w:val="00397802"/>
    <w:rsid w:val="003A65D7"/>
    <w:rsid w:val="003B1654"/>
    <w:rsid w:val="003C77E3"/>
    <w:rsid w:val="003D477C"/>
    <w:rsid w:val="003E0662"/>
    <w:rsid w:val="003E2B6E"/>
    <w:rsid w:val="003E3D5C"/>
    <w:rsid w:val="003E637C"/>
    <w:rsid w:val="003F0A6A"/>
    <w:rsid w:val="003F3F51"/>
    <w:rsid w:val="003F658A"/>
    <w:rsid w:val="004012AB"/>
    <w:rsid w:val="00402721"/>
    <w:rsid w:val="004107D6"/>
    <w:rsid w:val="004173A4"/>
    <w:rsid w:val="00422C83"/>
    <w:rsid w:val="0042478C"/>
    <w:rsid w:val="00425669"/>
    <w:rsid w:val="00433DA3"/>
    <w:rsid w:val="00434A3A"/>
    <w:rsid w:val="00442853"/>
    <w:rsid w:val="004447AC"/>
    <w:rsid w:val="00450A41"/>
    <w:rsid w:val="00456EF6"/>
    <w:rsid w:val="00467F27"/>
    <w:rsid w:val="004700BA"/>
    <w:rsid w:val="0048490E"/>
    <w:rsid w:val="00484A22"/>
    <w:rsid w:val="004A317E"/>
    <w:rsid w:val="004A4FF1"/>
    <w:rsid w:val="004A63BF"/>
    <w:rsid w:val="004B025C"/>
    <w:rsid w:val="004B035B"/>
    <w:rsid w:val="004B40F1"/>
    <w:rsid w:val="004C0565"/>
    <w:rsid w:val="004C351B"/>
    <w:rsid w:val="004C3DF8"/>
    <w:rsid w:val="004D0CC3"/>
    <w:rsid w:val="004D1359"/>
    <w:rsid w:val="004D2EB4"/>
    <w:rsid w:val="004D5A8B"/>
    <w:rsid w:val="004D7A3F"/>
    <w:rsid w:val="004E12AB"/>
    <w:rsid w:val="004E5201"/>
    <w:rsid w:val="004F085C"/>
    <w:rsid w:val="004F09E2"/>
    <w:rsid w:val="004F17FF"/>
    <w:rsid w:val="00500306"/>
    <w:rsid w:val="00501538"/>
    <w:rsid w:val="00504831"/>
    <w:rsid w:val="00511CFD"/>
    <w:rsid w:val="00517197"/>
    <w:rsid w:val="0051761F"/>
    <w:rsid w:val="00517968"/>
    <w:rsid w:val="00520DE2"/>
    <w:rsid w:val="00524F66"/>
    <w:rsid w:val="00531643"/>
    <w:rsid w:val="00532A3B"/>
    <w:rsid w:val="00532AC5"/>
    <w:rsid w:val="00542D3F"/>
    <w:rsid w:val="005500B4"/>
    <w:rsid w:val="00556101"/>
    <w:rsid w:val="005638B8"/>
    <w:rsid w:val="005662C8"/>
    <w:rsid w:val="0057391E"/>
    <w:rsid w:val="00573F9E"/>
    <w:rsid w:val="00574324"/>
    <w:rsid w:val="005828FD"/>
    <w:rsid w:val="00585E38"/>
    <w:rsid w:val="00594B1D"/>
    <w:rsid w:val="00595126"/>
    <w:rsid w:val="005A2FB5"/>
    <w:rsid w:val="005A4AF0"/>
    <w:rsid w:val="005B72C3"/>
    <w:rsid w:val="005C063C"/>
    <w:rsid w:val="005C54E5"/>
    <w:rsid w:val="005D3904"/>
    <w:rsid w:val="005E0F7E"/>
    <w:rsid w:val="005E216A"/>
    <w:rsid w:val="005E4D91"/>
    <w:rsid w:val="005F0A26"/>
    <w:rsid w:val="005F5C85"/>
    <w:rsid w:val="005F7AD2"/>
    <w:rsid w:val="00602B7B"/>
    <w:rsid w:val="00610EB5"/>
    <w:rsid w:val="00622FCA"/>
    <w:rsid w:val="0063317C"/>
    <w:rsid w:val="006430C3"/>
    <w:rsid w:val="00644FB5"/>
    <w:rsid w:val="00653490"/>
    <w:rsid w:val="006554DC"/>
    <w:rsid w:val="00656065"/>
    <w:rsid w:val="00657B9A"/>
    <w:rsid w:val="006601AB"/>
    <w:rsid w:val="00665F7F"/>
    <w:rsid w:val="00670F7F"/>
    <w:rsid w:val="00682D3C"/>
    <w:rsid w:val="006836A5"/>
    <w:rsid w:val="006A0B70"/>
    <w:rsid w:val="006A1A39"/>
    <w:rsid w:val="006A4A67"/>
    <w:rsid w:val="006B0F49"/>
    <w:rsid w:val="006C377A"/>
    <w:rsid w:val="006E4026"/>
    <w:rsid w:val="006F05C1"/>
    <w:rsid w:val="006F16CF"/>
    <w:rsid w:val="006F250A"/>
    <w:rsid w:val="006F35F8"/>
    <w:rsid w:val="006F40EA"/>
    <w:rsid w:val="00705053"/>
    <w:rsid w:val="00716656"/>
    <w:rsid w:val="00717CC8"/>
    <w:rsid w:val="00722162"/>
    <w:rsid w:val="007231ED"/>
    <w:rsid w:val="00724EB0"/>
    <w:rsid w:val="007260CB"/>
    <w:rsid w:val="00731922"/>
    <w:rsid w:val="00732B82"/>
    <w:rsid w:val="0073578E"/>
    <w:rsid w:val="00740B4E"/>
    <w:rsid w:val="00751A61"/>
    <w:rsid w:val="00757596"/>
    <w:rsid w:val="00757B58"/>
    <w:rsid w:val="00757D7F"/>
    <w:rsid w:val="0077418C"/>
    <w:rsid w:val="00774E89"/>
    <w:rsid w:val="00782D81"/>
    <w:rsid w:val="0078657C"/>
    <w:rsid w:val="00786685"/>
    <w:rsid w:val="00790292"/>
    <w:rsid w:val="00794984"/>
    <w:rsid w:val="00796B0C"/>
    <w:rsid w:val="00796F35"/>
    <w:rsid w:val="007A38D6"/>
    <w:rsid w:val="007A3A55"/>
    <w:rsid w:val="007B3D1C"/>
    <w:rsid w:val="007B4128"/>
    <w:rsid w:val="007B4866"/>
    <w:rsid w:val="007B4F45"/>
    <w:rsid w:val="007C03F5"/>
    <w:rsid w:val="007C15F3"/>
    <w:rsid w:val="007C365C"/>
    <w:rsid w:val="007C5C30"/>
    <w:rsid w:val="007C6400"/>
    <w:rsid w:val="007D00CF"/>
    <w:rsid w:val="007D0CB5"/>
    <w:rsid w:val="007D600D"/>
    <w:rsid w:val="007E47D3"/>
    <w:rsid w:val="007E763E"/>
    <w:rsid w:val="00802D7C"/>
    <w:rsid w:val="0081260B"/>
    <w:rsid w:val="008141C4"/>
    <w:rsid w:val="00814600"/>
    <w:rsid w:val="0082514F"/>
    <w:rsid w:val="008346DD"/>
    <w:rsid w:val="0083507D"/>
    <w:rsid w:val="008577C1"/>
    <w:rsid w:val="00863EB1"/>
    <w:rsid w:val="00881F27"/>
    <w:rsid w:val="008935A2"/>
    <w:rsid w:val="008A453F"/>
    <w:rsid w:val="008A52F3"/>
    <w:rsid w:val="008A6B9A"/>
    <w:rsid w:val="008B15A3"/>
    <w:rsid w:val="008B3DCC"/>
    <w:rsid w:val="008D0F54"/>
    <w:rsid w:val="008D21EA"/>
    <w:rsid w:val="008D4AA8"/>
    <w:rsid w:val="008E5918"/>
    <w:rsid w:val="008F1F7F"/>
    <w:rsid w:val="008F2CC7"/>
    <w:rsid w:val="008F2F6C"/>
    <w:rsid w:val="008F39ED"/>
    <w:rsid w:val="008F5E7F"/>
    <w:rsid w:val="009023A7"/>
    <w:rsid w:val="00903EC4"/>
    <w:rsid w:val="009123C6"/>
    <w:rsid w:val="009405AE"/>
    <w:rsid w:val="00941C55"/>
    <w:rsid w:val="00947C09"/>
    <w:rsid w:val="00953C1D"/>
    <w:rsid w:val="00954DA7"/>
    <w:rsid w:val="00954F23"/>
    <w:rsid w:val="00966B25"/>
    <w:rsid w:val="0096707E"/>
    <w:rsid w:val="00973691"/>
    <w:rsid w:val="009749D3"/>
    <w:rsid w:val="00982644"/>
    <w:rsid w:val="009859D0"/>
    <w:rsid w:val="00991CCC"/>
    <w:rsid w:val="00992AF9"/>
    <w:rsid w:val="00996045"/>
    <w:rsid w:val="009A3D7D"/>
    <w:rsid w:val="009B02FD"/>
    <w:rsid w:val="009B06D1"/>
    <w:rsid w:val="009B07AD"/>
    <w:rsid w:val="009B08AD"/>
    <w:rsid w:val="009B463A"/>
    <w:rsid w:val="009B5F59"/>
    <w:rsid w:val="009B7D47"/>
    <w:rsid w:val="009B7F68"/>
    <w:rsid w:val="009C3738"/>
    <w:rsid w:val="009C73C4"/>
    <w:rsid w:val="009D1BF4"/>
    <w:rsid w:val="009D2194"/>
    <w:rsid w:val="009E4A30"/>
    <w:rsid w:val="009F3938"/>
    <w:rsid w:val="009F7B7A"/>
    <w:rsid w:val="00A01902"/>
    <w:rsid w:val="00A02C73"/>
    <w:rsid w:val="00A03730"/>
    <w:rsid w:val="00A1287F"/>
    <w:rsid w:val="00A154C5"/>
    <w:rsid w:val="00A175BA"/>
    <w:rsid w:val="00A2159E"/>
    <w:rsid w:val="00A272FB"/>
    <w:rsid w:val="00A30538"/>
    <w:rsid w:val="00A3454A"/>
    <w:rsid w:val="00A4232B"/>
    <w:rsid w:val="00A70D26"/>
    <w:rsid w:val="00A9439A"/>
    <w:rsid w:val="00AA61D6"/>
    <w:rsid w:val="00AB09EF"/>
    <w:rsid w:val="00AB228C"/>
    <w:rsid w:val="00AC3A0C"/>
    <w:rsid w:val="00AC3D73"/>
    <w:rsid w:val="00AC641D"/>
    <w:rsid w:val="00AD4BBF"/>
    <w:rsid w:val="00AD50DB"/>
    <w:rsid w:val="00AE0F33"/>
    <w:rsid w:val="00AE55CE"/>
    <w:rsid w:val="00AE78A8"/>
    <w:rsid w:val="00AF5383"/>
    <w:rsid w:val="00AF76BF"/>
    <w:rsid w:val="00AF7A99"/>
    <w:rsid w:val="00AF7C58"/>
    <w:rsid w:val="00B04933"/>
    <w:rsid w:val="00B059BB"/>
    <w:rsid w:val="00B1058D"/>
    <w:rsid w:val="00B2595D"/>
    <w:rsid w:val="00B26684"/>
    <w:rsid w:val="00B445A1"/>
    <w:rsid w:val="00B50CB8"/>
    <w:rsid w:val="00B525C8"/>
    <w:rsid w:val="00B53CB5"/>
    <w:rsid w:val="00B55C81"/>
    <w:rsid w:val="00B564D4"/>
    <w:rsid w:val="00B56829"/>
    <w:rsid w:val="00B60D5E"/>
    <w:rsid w:val="00B7179B"/>
    <w:rsid w:val="00B7241D"/>
    <w:rsid w:val="00B72710"/>
    <w:rsid w:val="00B74461"/>
    <w:rsid w:val="00B76CCF"/>
    <w:rsid w:val="00B81570"/>
    <w:rsid w:val="00B97AAA"/>
    <w:rsid w:val="00BA1552"/>
    <w:rsid w:val="00BA3793"/>
    <w:rsid w:val="00BA3DB7"/>
    <w:rsid w:val="00BA69D1"/>
    <w:rsid w:val="00BB1633"/>
    <w:rsid w:val="00BB4285"/>
    <w:rsid w:val="00BC2071"/>
    <w:rsid w:val="00BC2DAA"/>
    <w:rsid w:val="00BC4DE5"/>
    <w:rsid w:val="00BD15F9"/>
    <w:rsid w:val="00BE02C0"/>
    <w:rsid w:val="00BE0B1D"/>
    <w:rsid w:val="00BE2FA0"/>
    <w:rsid w:val="00BE310B"/>
    <w:rsid w:val="00BE32F2"/>
    <w:rsid w:val="00BE42AC"/>
    <w:rsid w:val="00BE4754"/>
    <w:rsid w:val="00BF0387"/>
    <w:rsid w:val="00BF0FC7"/>
    <w:rsid w:val="00BF14BD"/>
    <w:rsid w:val="00C00ED7"/>
    <w:rsid w:val="00C01C80"/>
    <w:rsid w:val="00C01CAC"/>
    <w:rsid w:val="00C0569D"/>
    <w:rsid w:val="00C11594"/>
    <w:rsid w:val="00C147DD"/>
    <w:rsid w:val="00C20A51"/>
    <w:rsid w:val="00C23750"/>
    <w:rsid w:val="00C26A86"/>
    <w:rsid w:val="00C336B3"/>
    <w:rsid w:val="00C40EFA"/>
    <w:rsid w:val="00C42FBF"/>
    <w:rsid w:val="00C44CE0"/>
    <w:rsid w:val="00C50F01"/>
    <w:rsid w:val="00C51161"/>
    <w:rsid w:val="00C512D1"/>
    <w:rsid w:val="00C52464"/>
    <w:rsid w:val="00C528C8"/>
    <w:rsid w:val="00C54105"/>
    <w:rsid w:val="00C62301"/>
    <w:rsid w:val="00C63313"/>
    <w:rsid w:val="00C67CA7"/>
    <w:rsid w:val="00C7505A"/>
    <w:rsid w:val="00C84FA8"/>
    <w:rsid w:val="00C85838"/>
    <w:rsid w:val="00C97CD7"/>
    <w:rsid w:val="00CA3147"/>
    <w:rsid w:val="00CA49B7"/>
    <w:rsid w:val="00CA7C2F"/>
    <w:rsid w:val="00CA7D28"/>
    <w:rsid w:val="00CA7FB2"/>
    <w:rsid w:val="00CB2C12"/>
    <w:rsid w:val="00CC2B05"/>
    <w:rsid w:val="00CC796D"/>
    <w:rsid w:val="00CD70CA"/>
    <w:rsid w:val="00CE16F2"/>
    <w:rsid w:val="00CE365A"/>
    <w:rsid w:val="00CE6FC0"/>
    <w:rsid w:val="00CF7060"/>
    <w:rsid w:val="00D0763A"/>
    <w:rsid w:val="00D10053"/>
    <w:rsid w:val="00D12C1C"/>
    <w:rsid w:val="00D142F2"/>
    <w:rsid w:val="00D20AF5"/>
    <w:rsid w:val="00D24938"/>
    <w:rsid w:val="00D31FEC"/>
    <w:rsid w:val="00D35C86"/>
    <w:rsid w:val="00D41D9F"/>
    <w:rsid w:val="00D44DA4"/>
    <w:rsid w:val="00D50194"/>
    <w:rsid w:val="00D56FDE"/>
    <w:rsid w:val="00D575BC"/>
    <w:rsid w:val="00D641DB"/>
    <w:rsid w:val="00D64550"/>
    <w:rsid w:val="00D72354"/>
    <w:rsid w:val="00D7294A"/>
    <w:rsid w:val="00D72CA5"/>
    <w:rsid w:val="00D75365"/>
    <w:rsid w:val="00D84D0F"/>
    <w:rsid w:val="00D87616"/>
    <w:rsid w:val="00DA01A4"/>
    <w:rsid w:val="00DA2D05"/>
    <w:rsid w:val="00DA3194"/>
    <w:rsid w:val="00DA32C7"/>
    <w:rsid w:val="00DB0753"/>
    <w:rsid w:val="00DC6FED"/>
    <w:rsid w:val="00DD18BC"/>
    <w:rsid w:val="00DD2F8D"/>
    <w:rsid w:val="00DD44E7"/>
    <w:rsid w:val="00DD6C41"/>
    <w:rsid w:val="00DE49AE"/>
    <w:rsid w:val="00DE4C0B"/>
    <w:rsid w:val="00DF5531"/>
    <w:rsid w:val="00E02FCF"/>
    <w:rsid w:val="00E139B0"/>
    <w:rsid w:val="00E147B1"/>
    <w:rsid w:val="00E23D6E"/>
    <w:rsid w:val="00E3029A"/>
    <w:rsid w:val="00E329EC"/>
    <w:rsid w:val="00E3332F"/>
    <w:rsid w:val="00E42681"/>
    <w:rsid w:val="00E47D03"/>
    <w:rsid w:val="00E523A0"/>
    <w:rsid w:val="00E55CB3"/>
    <w:rsid w:val="00E568EE"/>
    <w:rsid w:val="00E66ECC"/>
    <w:rsid w:val="00E70DF0"/>
    <w:rsid w:val="00E81C4B"/>
    <w:rsid w:val="00E84FD8"/>
    <w:rsid w:val="00E87C76"/>
    <w:rsid w:val="00EA017E"/>
    <w:rsid w:val="00EA1789"/>
    <w:rsid w:val="00EA2681"/>
    <w:rsid w:val="00EA66BB"/>
    <w:rsid w:val="00EB0FB9"/>
    <w:rsid w:val="00EC27DD"/>
    <w:rsid w:val="00EC40F9"/>
    <w:rsid w:val="00ED02E0"/>
    <w:rsid w:val="00ED6F16"/>
    <w:rsid w:val="00EE73A6"/>
    <w:rsid w:val="00EF1475"/>
    <w:rsid w:val="00EF2B13"/>
    <w:rsid w:val="00F0500E"/>
    <w:rsid w:val="00F06A4A"/>
    <w:rsid w:val="00F119CB"/>
    <w:rsid w:val="00F123D3"/>
    <w:rsid w:val="00F16C5B"/>
    <w:rsid w:val="00F21AAE"/>
    <w:rsid w:val="00F26453"/>
    <w:rsid w:val="00F26BCE"/>
    <w:rsid w:val="00F27129"/>
    <w:rsid w:val="00F32AC7"/>
    <w:rsid w:val="00F3562B"/>
    <w:rsid w:val="00F37D23"/>
    <w:rsid w:val="00F40786"/>
    <w:rsid w:val="00F43F19"/>
    <w:rsid w:val="00F4484D"/>
    <w:rsid w:val="00F53D5D"/>
    <w:rsid w:val="00F57883"/>
    <w:rsid w:val="00F65697"/>
    <w:rsid w:val="00F716FF"/>
    <w:rsid w:val="00F758BC"/>
    <w:rsid w:val="00F86348"/>
    <w:rsid w:val="00F90B12"/>
    <w:rsid w:val="00FA5452"/>
    <w:rsid w:val="00FA788D"/>
    <w:rsid w:val="00FB0644"/>
    <w:rsid w:val="00FB105C"/>
    <w:rsid w:val="00FB31CE"/>
    <w:rsid w:val="00FB78C6"/>
    <w:rsid w:val="00FD0BAD"/>
    <w:rsid w:val="00FD3756"/>
    <w:rsid w:val="00FE17B7"/>
    <w:rsid w:val="00FE2689"/>
    <w:rsid w:val="00FE4C7A"/>
    <w:rsid w:val="00FE66E9"/>
    <w:rsid w:val="00FF0614"/>
    <w:rsid w:val="00FF2529"/>
    <w:rsid w:val="00FF41E6"/>
    <w:rsid w:val="00FF437B"/>
    <w:rsid w:val="00FF47E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58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CB2C12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onrad/Library/Group%20Containers/UBF8T346G9.Office/User%20Content.localized/Templates.localized/Informacja%20prasowa%20Nickel%20Develop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7ED5-38F3-6E41-B600-A8A4A2F9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Nickel Development.dotx</Template>
  <TotalTime>1</TotalTime>
  <Pages>4</Pages>
  <Words>1388</Words>
  <Characters>7915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Bugiera</dc:creator>
  <cp:lastModifiedBy>Konrad Bugiera</cp:lastModifiedBy>
  <cp:revision>3</cp:revision>
  <cp:lastPrinted>2016-06-02T13:42:00Z</cp:lastPrinted>
  <dcterms:created xsi:type="dcterms:W3CDTF">2016-06-14T09:00:00Z</dcterms:created>
  <dcterms:modified xsi:type="dcterms:W3CDTF">2016-06-14T09:00:00Z</dcterms:modified>
</cp:coreProperties>
</file>